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274" w:lineRule="auto"/>
      </w:pPr>
      <w:r>
        <w:rPr>
          <w:rFonts w:ascii="Calibri" w:hAnsi="Calibri"/>
          <w:b/>
          <w:i w:val="0"/>
          <w:color w:val="2E7D75"/>
          <w:sz w:val="19"/>
        </w:rPr>
        <w:t>ANNUAL OPERATING PLAN · FY2027</w:t>
      </w:r>
    </w:p>
    <w:p>
      <w:pPr>
        <w:keepNext w:val="0"/>
        <w:spacing w:after="120" w:before="0" w:line="259" w:lineRule="auto"/>
      </w:pPr>
      <w:r>
        <w:rPr>
          <w:rFonts w:ascii="Calibri" w:hAnsi="Calibri"/>
          <w:b/>
          <w:i w:val="0"/>
          <w:color w:val="1F2A44"/>
          <w:sz w:val="46"/>
        </w:rPr>
        <w:t>FY2027 Annual Operating Plan — Narrative and Assumptions</w:t>
      </w:r>
    </w:p>
    <w:p>
      <w:pPr>
        <w:keepNext w:val="0"/>
        <w:spacing w:after="160" w:before="0" w:line="288" w:lineRule="auto"/>
      </w:pPr>
      <w:r>
        <w:rPr>
          <w:rFonts w:ascii="Calibri" w:hAnsi="Calibri"/>
          <w:b w:val="0"/>
          <w:i w:val="0"/>
          <w:color w:val="5B6472"/>
          <w:sz w:val="26"/>
        </w:rPr>
        <w:t>The revenue build line by line, the assumptions underneath each one, and what breaks if they are wrong</w:t>
      </w:r>
    </w:p>
    <w:p>
      <w:pPr>
        <w:spacing w:after="120"/>
        <w:pBdr>
          <w:bottom w:val="single" w:sz="6" w:space="1" w:color="C9D2DB"/>
        </w:pBdr>
      </w:pPr>
    </w:p>
    <w:p>
      <w:pPr>
        <w:keepNext w:val="0"/>
        <w:spacing w:after="40" w:before="0" w:line="274" w:lineRule="auto"/>
      </w:pPr>
      <w:r>
        <w:rPr>
          <w:rFonts w:ascii="Calibri" w:hAnsi="Calibri"/>
          <w:b/>
          <w:i w:val="0"/>
          <w:color w:val="5B6472"/>
          <w:sz w:val="20"/>
        </w:rPr>
        <w:t>Finance &amp; FP&amp;A, reviewed with the CFO</w:t>
      </w:r>
    </w:p>
    <w:p>
      <w:pPr>
        <w:keepNext w:val="0"/>
        <w:spacing w:after="20" w:before="0" w:line="274" w:lineRule="auto"/>
      </w:pPr>
      <w:r>
        <w:rPr>
          <w:rFonts w:ascii="Calibri" w:hAnsi="Calibri"/>
          <w:b w:val="0"/>
          <w:i w:val="0"/>
          <w:color w:val="5B6472"/>
          <w:sz w:val="19"/>
        </w:rPr>
        <w:t>Period: FY2027 (Jan–Dec 2027)</w:t>
      </w:r>
    </w:p>
    <w:p>
      <w:pPr>
        <w:keepNext w:val="0"/>
        <w:spacing w:after="20" w:before="0" w:line="274" w:lineRule="auto"/>
      </w:pPr>
      <w:r>
        <w:rPr>
          <w:rFonts w:ascii="Calibri" w:hAnsi="Calibri"/>
          <w:b w:val="0"/>
          <w:i w:val="0"/>
          <w:color w:val="5B6472"/>
          <w:sz w:val="19"/>
        </w:rPr>
        <w:t>Companion document: FY27 AOP board pre-read (Report 42)</w:t>
      </w:r>
    </w:p>
    <w:p>
      <w:pPr>
        <w:keepNext w:val="0"/>
        <w:spacing w:after="20" w:before="0" w:line="274" w:lineRule="auto"/>
      </w:pPr>
      <w:r>
        <w:rPr>
          <w:rFonts w:ascii="Calibri" w:hAnsi="Calibri"/>
          <w:b w:val="0"/>
          <w:i w:val="0"/>
          <w:color w:val="5B6472"/>
          <w:sz w:val="19"/>
        </w:rPr>
        <w:t>Version: v1 · July 2026</w:t>
      </w:r>
    </w:p>
    <w:p>
      <w:pPr>
        <w:keepNext w:val="0"/>
        <w:spacing w:after="200" w:before="0" w:line="274" w:lineRule="auto"/>
      </w:pPr>
      <w:r>
        <w:rPr>
          <w:rFonts w:ascii="Calibri" w:hAnsi="Calibri"/>
          <w:b w:val="0"/>
          <w:i w:val="0"/>
          <w:color w:val="5B6472"/>
          <w:sz w:val="19"/>
        </w:rPr>
        <w:t>Internal planning document · Internal · Confidential — synthetic demo data</w:t>
      </w:r>
    </w:p>
    <w:p>
      <w:pPr>
        <w:keepNext/>
        <w:spacing w:after="60" w:before="180" w:line="274" w:lineRule="auto"/>
      </w:pPr>
      <w:r>
        <w:rPr>
          <w:rFonts w:ascii="Calibri" w:hAnsi="Calibri"/>
          <w:b/>
          <w:i w:val="0"/>
          <w:color w:val="1F2A44"/>
          <w:sz w:val="23"/>
        </w:rPr>
        <w:t>At a glance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96" w:type="dxa"/>
          <w:bottom w:w="40" w:type="dxa"/>
          <w:right w:w="96" w:type="dxa"/>
        </w:tblCellMar>
        <w:tblLook w:firstColumn="1" w:firstRow="1" w:lastColumn="0" w:lastRow="0" w:noHBand="0" w:noVBand="1" w:val="04A0"/>
      </w:tblPr>
      <w:tblGrid>
        <w:gridCol w:w="2376"/>
        <w:gridCol w:w="2376"/>
        <w:gridCol w:w="2376"/>
        <w:gridCol w:w="2376"/>
      </w:tblGrid>
      <w:tr>
        <w:tc>
          <w:tcPr>
            <w:tcW w:type="dxa" w:w="2376"/>
            <w:shd w:val="clear" w:color="auto" w:fill="F5F7F9"/>
          </w:tcPr>
          <w:p>
            <w:pPr>
              <w:spacing w:after="40"/>
            </w:pPr>
            <w:r>
              <w:rPr>
                <w:rFonts w:ascii="Calibri" w:hAnsi="Calibri"/>
                <w:b/>
                <w:i w:val="0"/>
                <w:color w:val="1F2A44"/>
                <w:sz w:val="34"/>
              </w:rPr>
              <w:t>$880M</w:t>
            </w:r>
          </w:p>
          <w:p>
            <w:pPr>
              <w:spacing w:after="40"/>
            </w:pPr>
            <w:r>
              <w:rPr>
                <w:rFonts w:ascii="Calibri" w:hAnsi="Calibri"/>
                <w:b/>
                <w:i w:val="0"/>
                <w:color w:val="5B6472"/>
                <w:sz w:val="16"/>
              </w:rPr>
              <w:t>FY27 REVENUE PLAN</w:t>
            </w:r>
          </w:p>
        </w:tc>
        <w:tc>
          <w:tcPr>
            <w:tcW w:type="dxa" w:w="2376"/>
            <w:shd w:val="clear" w:color="auto" w:fill="F5F7F9"/>
          </w:tcPr>
          <w:p>
            <w:pPr>
              <w:spacing w:after="40"/>
            </w:pPr>
            <w:r>
              <w:rPr>
                <w:rFonts w:ascii="Calibri" w:hAnsi="Calibri"/>
                <w:b/>
                <w:i w:val="0"/>
                <w:color w:val="1F2A44"/>
                <w:sz w:val="34"/>
              </w:rPr>
              <w:t>+8%</w:t>
            </w:r>
          </w:p>
          <w:p>
            <w:pPr>
              <w:spacing w:after="40"/>
            </w:pPr>
            <w:r>
              <w:rPr>
                <w:rFonts w:ascii="Calibri" w:hAnsi="Calibri"/>
                <w:b/>
                <w:i w:val="0"/>
                <w:color w:val="5B6472"/>
                <w:sz w:val="16"/>
              </w:rPr>
              <w:t>ON THE FY25 BASE</w:t>
            </w:r>
          </w:p>
        </w:tc>
        <w:tc>
          <w:tcPr>
            <w:tcW w:type="dxa" w:w="2376"/>
            <w:shd w:val="clear" w:color="auto" w:fill="F5F7F9"/>
          </w:tcPr>
          <w:p>
            <w:pPr>
              <w:spacing w:after="40"/>
            </w:pPr>
            <w:r>
              <w:rPr>
                <w:rFonts w:ascii="Calibri" w:hAnsi="Calibri"/>
                <w:b/>
                <w:i w:val="0"/>
                <w:color w:val="1F2A44"/>
                <w:sz w:val="34"/>
              </w:rPr>
              <w:t>~15.0%</w:t>
            </w:r>
          </w:p>
          <w:p>
            <w:pPr>
              <w:spacing w:after="40"/>
            </w:pPr>
            <w:r>
              <w:rPr>
                <w:rFonts w:ascii="Calibri" w:hAnsi="Calibri"/>
                <w:b/>
                <w:i w:val="0"/>
                <w:color w:val="5B6472"/>
                <w:sz w:val="16"/>
              </w:rPr>
              <w:t>FY27 EBITDA TARGET</w:t>
            </w:r>
          </w:p>
        </w:tc>
        <w:tc>
          <w:tcPr>
            <w:tcW w:type="dxa" w:w="2376"/>
            <w:shd w:val="clear" w:color="auto" w:fill="F5F7F9"/>
          </w:tcPr>
          <w:p>
            <w:pPr>
              <w:spacing w:after="40"/>
            </w:pPr>
            <w:r>
              <w:rPr>
                <w:rFonts w:ascii="Calibri" w:hAnsi="Calibri"/>
                <w:b/>
                <w:i w:val="0"/>
                <w:color w:val="1F2A44"/>
                <w:sz w:val="34"/>
              </w:rPr>
              <w:t>~$150M</w:t>
            </w:r>
          </w:p>
          <w:p>
            <w:pPr>
              <w:spacing w:after="40"/>
            </w:pPr>
            <w:r>
              <w:rPr>
                <w:rFonts w:ascii="Calibri" w:hAnsi="Calibri"/>
                <w:b/>
                <w:i w:val="0"/>
                <w:color w:val="5B6472"/>
                <w:sz w:val="16"/>
              </w:rPr>
              <w:t>FY27 TRADE ENVELOPE</w:t>
            </w:r>
          </w:p>
        </w:tc>
      </w:tr>
    </w:tbl>
    <w:p>
      <w:pPr>
        <w:keepNext w:val="0"/>
        <w:spacing w:after="80" w:before="0" w:line="274" w:lineRule="auto"/>
      </w:pPr>
    </w:p>
    <w:p>
      <w:pPr>
        <w:keepNext/>
        <w:spacing w:after="40" w:before="240" w:line="274" w:lineRule="auto"/>
      </w:pPr>
      <w:r>
        <w:rPr>
          <w:rFonts w:ascii="Calibri" w:hAnsi="Calibri"/>
          <w:b/>
          <w:i w:val="0"/>
          <w:color w:val="2E7D75"/>
          <w:sz w:val="18"/>
        </w:rPr>
        <w:t>THE PREMISE</w:t>
      </w:r>
    </w:p>
    <w:p>
      <w:pPr>
        <w:keepNext/>
        <w:spacing w:after="100" w:before="0" w:line="274" w:lineRule="auto"/>
      </w:pPr>
      <w:r>
        <w:rPr>
          <w:rFonts w:ascii="Calibri" w:hAnsi="Calibri"/>
          <w:b/>
          <w:i w:val="0"/>
          <w:color w:val="1F2A44"/>
          <w:sz w:val="31"/>
        </w:rPr>
        <w:t>1 · How this plan is built</w:t>
      </w:r>
    </w:p>
    <w:p>
      <w:pPr>
        <w:keepNext w:val="0"/>
        <w:spacing w:after="160" w:before="0" w:line="293" w:lineRule="auto"/>
      </w:pPr>
      <w:r>
        <w:rPr>
          <w:rFonts w:ascii="Calibri" w:hAnsi="Calibri"/>
          <w:b w:val="0"/>
          <w:i/>
          <w:color w:val="5B6472"/>
          <w:sz w:val="24"/>
        </w:rPr>
        <w:t>Bottom-up by brand off the FY25 actual base, with the FY26 variance carried as an explicit risk overlay rather than absorbed.</w:t>
      </w:r>
    </w:p>
    <w:p>
      <w:pPr>
        <w:keepNext w:val="0"/>
        <w:spacing w:after="120" w:before="0" w:line="274" w:lineRule="auto"/>
      </w:pPr>
      <w:r>
        <w:rPr>
          <w:rFonts w:ascii="Calibri" w:hAnsi="Calibri"/>
          <w:b w:val="0"/>
          <w:i w:val="0"/>
          <w:color w:val="2B2F38"/>
          <w:sz w:val="21"/>
        </w:rPr>
        <w:t xml:space="preserve">FY2026 has run behind plan every month. Q1 landed $181.1M against $191.2M of plan (-5.3%) and Q2 through May has run $123.1M against $127.5M (-3.4%). The monthly plan was straight-lined at $63.7M; actuals have run between $60.3M and $61.6M. Building FY2027 as a percentage on top of the FY2026 </w:t>
      </w:r>
      <w:r>
        <w:rPr>
          <w:rFonts w:ascii="Calibri" w:hAnsi="Calibri"/>
          <w:b/>
          <w:i w:val="0"/>
          <w:color w:val="2B2F38"/>
          <w:sz w:val="21"/>
        </w:rPr>
        <w:t>plan</w:t>
      </w:r>
      <w:r>
        <w:rPr>
          <w:rFonts w:ascii="Calibri" w:hAnsi="Calibri"/>
          <w:b w:val="0"/>
          <w:i w:val="0"/>
          <w:color w:val="2B2F38"/>
          <w:sz w:val="21"/>
        </w:rPr>
        <w:t xml:space="preserve"> would embed a five-point miss into next year's starting point before a single decision was made.</w:t>
      </w:r>
    </w:p>
    <w:p>
      <w:pPr>
        <w:keepNext w:val="0"/>
        <w:spacing w:after="120" w:before="0" w:line="274" w:lineRule="auto"/>
      </w:pPr>
      <w:r>
        <w:rPr>
          <w:rFonts w:ascii="Calibri" w:hAnsi="Calibri"/>
          <w:b w:val="0"/>
          <w:i w:val="0"/>
          <w:color w:val="2B2F38"/>
          <w:sz w:val="21"/>
        </w:rPr>
        <w:t xml:space="preserve">So the FY2027 plan is built bottom-up from each brand off the </w:t>
      </w:r>
      <w:r>
        <w:rPr>
          <w:rFonts w:ascii="Calibri" w:hAnsi="Calibri"/>
          <w:b/>
          <w:i w:val="0"/>
          <w:color w:val="2B2F38"/>
          <w:sz w:val="21"/>
        </w:rPr>
        <w:t>FY2025 actual base</w:t>
      </w:r>
      <w:r>
        <w:rPr>
          <w:rFonts w:ascii="Calibri" w:hAnsi="Calibri"/>
          <w:b w:val="0"/>
          <w:i w:val="0"/>
          <w:color w:val="2B2F38"/>
          <w:sz w:val="21"/>
        </w:rPr>
        <w:t>, and adds only initiatives with a named owner, a stage-gate or a contract behind them. The FY2026 variance is carried as a named risk overlay in section 5, not netted into the build. There is no unallocated growth line in this plan.</w:t>
      </w:r>
    </w:p>
    <w:tbl>
      <w:tblPr>
        <w:tblW w:w="9504" w:type="dxa"/>
        <w:tblBorders>
          <w:top w:val="none"/>
          <w:left w:val="single" w:sz="24" w:color="2E7D75"/>
          <w:bottom w:val="none"/>
          <w:right w:val="none"/>
          <w:insideH w:val="none"/>
          <w:insideV w:val="none"/>
        </w:tblBorders>
        <w:tblLayout w:type="fixed"/>
        <w:tblCellMar>
          <w:top w:w="40" w:type="dxa"/>
          <w:left w:w="110" w:type="dxa"/>
          <w:bottom w:w="40" w:type="dxa"/>
          <w:right w:w="110" w:type="dxa"/>
        </w:tblCellMar>
        <w:tblLook w:firstColumn="1" w:firstRow="1" w:lastColumn="0" w:lastRow="0" w:noHBand="0" w:noVBand="1" w:val="04A0"/>
      </w:tblPr>
      <w:tblGrid>
        <w:gridCol w:w="9504"/>
      </w:tblGrid>
      <w:tr>
        <w:tc>
          <w:tcPr>
            <w:tcW w:type="dxa" w:w="9504"/>
            <w:shd w:val="clear" w:color="auto" w:fill="F5F7F9"/>
          </w:tcPr>
          <w:p>
            <w:pPr>
              <w:spacing w:after="40"/>
            </w:pPr>
            <w:r>
              <w:rPr>
                <w:rFonts w:ascii="Calibri" w:hAnsi="Calibri"/>
                <w:b/>
                <w:i w:val="0"/>
                <w:color w:val="1F2A44"/>
                <w:sz w:val="21"/>
              </w:rPr>
              <w:t>What this means in practice</w:t>
            </w:r>
          </w:p>
          <w:p>
            <w:pPr>
              <w:spacing w:after="40" w:line="274" w:lineRule="auto"/>
            </w:pPr>
            <w:r>
              <w:rPr>
                <w:rFonts w:ascii="Calibri" w:hAnsi="Calibri"/>
                <w:b w:val="0"/>
                <w:i w:val="0"/>
                <w:color w:val="2B2F38"/>
                <w:sz w:val="20"/>
              </w:rPr>
              <w:t>Any growth in this plan can be traced to a named brand initiative. If an initiative is cancelled or slips, the revenue comes out of the plan rather than being absorbed as 'productivity'.</w:t>
            </w:r>
          </w:p>
        </w:tc>
      </w:tr>
    </w:tbl>
    <w:p>
      <w:pPr>
        <w:keepNext w:val="0"/>
        <w:spacing w:after="80" w:before="0" w:line="274" w:lineRule="auto"/>
      </w:pPr>
    </w:p>
    <w:p>
      <w:pPr>
        <w:keepNext/>
        <w:spacing w:after="40" w:before="240" w:line="274" w:lineRule="auto"/>
      </w:pPr>
      <w:r>
        <w:rPr>
          <w:rFonts w:ascii="Calibri" w:hAnsi="Calibri"/>
          <w:b/>
          <w:i w:val="0"/>
          <w:color w:val="2E7D75"/>
          <w:sz w:val="18"/>
        </w:rPr>
        <w:t>THE BUILD</w:t>
      </w:r>
    </w:p>
    <w:p>
      <w:pPr>
        <w:keepNext/>
        <w:spacing w:after="100" w:before="0" w:line="274" w:lineRule="auto"/>
      </w:pPr>
      <w:r>
        <w:rPr>
          <w:rFonts w:ascii="Calibri" w:hAnsi="Calibri"/>
          <w:b/>
          <w:i w:val="0"/>
          <w:color w:val="1F2A44"/>
          <w:sz w:val="31"/>
        </w:rPr>
        <w:t>2 · Where $880M comes from</w:t>
      </w:r>
    </w:p>
    <w:p>
      <w:pPr>
        <w:keepNext w:val="0"/>
        <w:spacing w:after="120" w:before="0" w:line="274" w:lineRule="auto"/>
      </w:pPr>
      <w:r>
        <w:rPr>
          <w:rFonts w:ascii="Calibri" w:hAnsi="Calibri"/>
          <w:b w:val="0"/>
          <w:i w:val="0"/>
          <w:color w:val="2B2F38"/>
          <w:sz w:val="21"/>
        </w:rPr>
        <w:t>Five brands are asked to grow, one to decline, and the residual is adjacency and mix. Each block is owned by a brand or function leader who has signed up to the number in their own plan.</w:t>
      </w:r>
    </w:p>
    <w:p>
      <w:pPr>
        <w:spacing w:before="80" w:after="40"/>
      </w:pPr>
      <w:r>
        <w:drawing>
          <wp:inline xmlns:a="http://schemas.openxmlformats.org/drawingml/2006/main" xmlns:pic="http://schemas.openxmlformats.org/drawingml/2006/picture">
            <wp:extent cx="6035040" cy="2556327"/>
            <wp:docPr id="1" name="Picture 1"/>
            <wp:cNvGraphicFramePr>
              <a:graphicFrameLocks noChangeAspect="1"/>
            </wp:cNvGraphicFramePr>
            <a:graphic>
              <a:graphicData uri="http://schemas.openxmlformats.org/drawingml/2006/picture">
                <pic:pic>
                  <pic:nvPicPr>
                    <pic:cNvPr id="0" name="r61_build.png"/>
                    <pic:cNvPicPr/>
                  </pic:nvPicPr>
                  <pic:blipFill>
                    <a:blip r:embed="rId10"/>
                    <a:stretch>
                      <a:fillRect/>
                    </a:stretch>
                  </pic:blipFill>
                  <pic:spPr>
                    <a:xfrm>
                      <a:off x="0" y="0"/>
                      <a:ext cx="6035040" cy="2556327"/>
                    </a:xfrm>
                    <a:prstGeom prst="rect"/>
                  </pic:spPr>
                </pic:pic>
              </a:graphicData>
            </a:graphic>
          </wp:inline>
        </w:drawing>
      </w:r>
    </w:p>
    <w:p>
      <w:pPr>
        <w:keepNext w:val="0"/>
        <w:spacing w:after="160" w:before="0" w:line="274" w:lineRule="auto"/>
      </w:pPr>
      <w:r>
        <w:rPr>
          <w:rFonts w:ascii="Calibri" w:hAnsi="Calibri"/>
          <w:b w:val="0"/>
          <w:i/>
          <w:color w:val="5B6472"/>
          <w:sz w:val="17"/>
        </w:rPr>
        <w:t>Movements off the $812M FY25 base. All forward blocks are plan targets.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2851"/>
        <w:gridCol w:w="1140"/>
        <w:gridCol w:w="1711"/>
        <w:gridCol w:w="3802"/>
      </w:tblGrid>
      <w:tr>
        <w:tc>
          <w:tcPr>
            <w:tcW w:type="dxa" w:w="2851"/>
            <w:shd w:val="clear" w:color="auto" w:fill="1F2A44"/>
          </w:tcPr>
          <w:p>
            <w:pPr>
              <w:spacing w:after="20"/>
            </w:pPr>
            <w:r>
              <w:rPr>
                <w:rFonts w:ascii="Calibri" w:hAnsi="Calibri"/>
                <w:b/>
                <w:i w:val="0"/>
                <w:color w:val="FFFFFF"/>
                <w:sz w:val="17"/>
              </w:rPr>
              <w:t>Block</w:t>
            </w:r>
          </w:p>
        </w:tc>
        <w:tc>
          <w:tcPr>
            <w:tcW w:type="dxa" w:w="1140"/>
            <w:shd w:val="clear" w:color="auto" w:fill="1F2A44"/>
          </w:tcPr>
          <w:p>
            <w:pPr>
              <w:spacing w:after="20"/>
              <w:jc w:val="right"/>
            </w:pPr>
            <w:r>
              <w:rPr>
                <w:rFonts w:ascii="Calibri" w:hAnsi="Calibri"/>
                <w:b/>
                <w:i w:val="0"/>
                <w:color w:val="FFFFFF"/>
                <w:sz w:val="17"/>
              </w:rPr>
              <w:t>FY27 $M</w:t>
            </w:r>
          </w:p>
        </w:tc>
        <w:tc>
          <w:tcPr>
            <w:tcW w:type="dxa" w:w="1711"/>
            <w:shd w:val="clear" w:color="auto" w:fill="1F2A44"/>
          </w:tcPr>
          <w:p>
            <w:pPr>
              <w:spacing w:after="20"/>
              <w:jc w:val="right"/>
            </w:pPr>
            <w:r>
              <w:rPr>
                <w:rFonts w:ascii="Calibri" w:hAnsi="Calibri"/>
                <w:b/>
                <w:i w:val="0"/>
                <w:color w:val="FFFFFF"/>
                <w:sz w:val="17"/>
              </w:rPr>
              <w:t>Owner</w:t>
            </w:r>
          </w:p>
        </w:tc>
        <w:tc>
          <w:tcPr>
            <w:tcW w:type="dxa" w:w="3802"/>
            <w:shd w:val="clear" w:color="auto" w:fill="1F2A44"/>
          </w:tcPr>
          <w:p>
            <w:pPr>
              <w:spacing w:after="20"/>
              <w:jc w:val="right"/>
            </w:pPr>
            <w:r>
              <w:rPr>
                <w:rFonts w:ascii="Calibri" w:hAnsi="Calibri"/>
                <w:b/>
                <w:i w:val="0"/>
                <w:color w:val="FFFFFF"/>
                <w:sz w:val="17"/>
              </w:rPr>
              <w:t>What it depends on</w:t>
            </w:r>
          </w:p>
        </w:tc>
      </w:tr>
      <w:tr>
        <w:tc>
          <w:tcPr>
            <w:tcW w:type="dxa" w:w="2851"/>
            <w:shd w:val="clear" w:color="auto" w:fill="FFFFFF"/>
          </w:tcPr>
          <w:p>
            <w:pPr>
              <w:spacing w:after="20"/>
            </w:pPr>
            <w:r>
              <w:rPr>
                <w:rFonts w:ascii="Calibri" w:hAnsi="Calibri"/>
                <w:b w:val="0"/>
                <w:i w:val="0"/>
                <w:color w:val="2B2F38"/>
                <w:sz w:val="18"/>
              </w:rPr>
              <w:t>FY25 actual base</w:t>
            </w:r>
          </w:p>
        </w:tc>
        <w:tc>
          <w:tcPr>
            <w:tcW w:type="dxa" w:w="1140"/>
            <w:shd w:val="clear" w:color="auto" w:fill="FFFFFF"/>
          </w:tcPr>
          <w:p>
            <w:pPr>
              <w:spacing w:after="20"/>
              <w:jc w:val="right"/>
            </w:pPr>
            <w:r>
              <w:rPr>
                <w:rFonts w:ascii="Calibri" w:hAnsi="Calibri"/>
                <w:b w:val="0"/>
                <w:i w:val="0"/>
                <w:color w:val="2B2F38"/>
                <w:sz w:val="18"/>
              </w:rPr>
              <w:t>812.0</w:t>
            </w:r>
          </w:p>
        </w:tc>
        <w:tc>
          <w:tcPr>
            <w:tcW w:type="dxa" w:w="1711"/>
            <w:shd w:val="clear" w:color="auto" w:fill="FFFFFF"/>
          </w:tcPr>
          <w:p>
            <w:pPr>
              <w:spacing w:after="20"/>
              <w:jc w:val="right"/>
            </w:pPr>
            <w:r>
              <w:rPr>
                <w:rFonts w:ascii="Calibri" w:hAnsi="Calibri"/>
                <w:b w:val="0"/>
                <w:i w:val="0"/>
                <w:color w:val="2B2F38"/>
                <w:sz w:val="18"/>
              </w:rPr>
              <w:t>Finance</w:t>
            </w:r>
          </w:p>
        </w:tc>
        <w:tc>
          <w:tcPr>
            <w:tcW w:type="dxa" w:w="3802"/>
            <w:shd w:val="clear" w:color="auto" w:fill="FFFFFF"/>
          </w:tcPr>
          <w:p>
            <w:pPr>
              <w:spacing w:after="20"/>
              <w:jc w:val="right"/>
            </w:pPr>
            <w:r>
              <w:rPr>
                <w:rFonts w:ascii="Calibri" w:hAnsi="Calibri"/>
                <w:b w:val="0"/>
                <w:i w:val="0"/>
                <w:color w:val="2B2F38"/>
                <w:sz w:val="18"/>
              </w:rPr>
              <w:t>Measured; per FACTS.md</w:t>
            </w:r>
          </w:p>
        </w:tc>
      </w:tr>
      <w:tr>
        <w:tc>
          <w:tcPr>
            <w:tcW w:type="dxa" w:w="2851"/>
            <w:shd w:val="clear" w:color="auto" w:fill="F5F7F9"/>
          </w:tcPr>
          <w:p>
            <w:pPr>
              <w:spacing w:after="20"/>
            </w:pPr>
            <w:r>
              <w:rPr>
                <w:rFonts w:ascii="Calibri" w:hAnsi="Calibri"/>
                <w:b w:val="0"/>
                <w:i w:val="0"/>
                <w:color w:val="2B2F38"/>
                <w:sz w:val="18"/>
              </w:rPr>
              <w:t>ProteinPeak</w:t>
            </w:r>
          </w:p>
        </w:tc>
        <w:tc>
          <w:tcPr>
            <w:tcW w:type="dxa" w:w="1140"/>
            <w:shd w:val="clear" w:color="auto" w:fill="F5F7F9"/>
          </w:tcPr>
          <w:p>
            <w:pPr>
              <w:spacing w:after="20"/>
              <w:jc w:val="right"/>
            </w:pPr>
            <w:r>
              <w:rPr>
                <w:rFonts w:ascii="Calibri" w:hAnsi="Calibri"/>
                <w:b w:val="0"/>
                <w:i w:val="0"/>
                <w:color w:val="2B2F38"/>
                <w:sz w:val="18"/>
              </w:rPr>
              <w:t>+52.0</w:t>
            </w:r>
          </w:p>
        </w:tc>
        <w:tc>
          <w:tcPr>
            <w:tcW w:type="dxa" w:w="1711"/>
            <w:shd w:val="clear" w:color="auto" w:fill="F5F7F9"/>
          </w:tcPr>
          <w:p>
            <w:pPr>
              <w:spacing w:after="20"/>
              <w:jc w:val="right"/>
            </w:pPr>
            <w:r>
              <w:rPr>
                <w:rFonts w:ascii="Calibri" w:hAnsi="Calibri"/>
                <w:b w:val="0"/>
                <w:i w:val="0"/>
                <w:color w:val="2B2F38"/>
                <w:sz w:val="18"/>
              </w:rPr>
              <w:t>Sage Park</w:t>
            </w:r>
          </w:p>
        </w:tc>
        <w:tc>
          <w:tcPr>
            <w:tcW w:type="dxa" w:w="3802"/>
            <w:shd w:val="clear" w:color="auto" w:fill="F5F7F9"/>
          </w:tcPr>
          <w:p>
            <w:pPr>
              <w:spacing w:after="20"/>
              <w:jc w:val="right"/>
            </w:pPr>
            <w:r>
              <w:rPr>
                <w:rFonts w:ascii="Calibri" w:hAnsi="Calibri"/>
                <w:b w:val="0"/>
                <w:i w:val="0"/>
                <w:color w:val="2B2F38"/>
                <w:sz w:val="18"/>
              </w:rPr>
              <w:t>Full-year PP005/PP006 plus Walmart and Kroger authorisation</w:t>
            </w:r>
          </w:p>
        </w:tc>
      </w:tr>
      <w:tr>
        <w:tc>
          <w:tcPr>
            <w:tcW w:type="dxa" w:w="2851"/>
            <w:shd w:val="clear" w:color="auto" w:fill="FFFFFF"/>
          </w:tcPr>
          <w:p>
            <w:pPr>
              <w:spacing w:after="20"/>
            </w:pPr>
            <w:r>
              <w:rPr>
                <w:rFonts w:ascii="Calibri" w:hAnsi="Calibri"/>
                <w:b w:val="0"/>
                <w:i w:val="0"/>
                <w:color w:val="2B2F38"/>
                <w:sz w:val="18"/>
              </w:rPr>
              <w:t>RootDay</w:t>
            </w:r>
          </w:p>
        </w:tc>
        <w:tc>
          <w:tcPr>
            <w:tcW w:type="dxa" w:w="1140"/>
            <w:shd w:val="clear" w:color="auto" w:fill="FFFFFF"/>
          </w:tcPr>
          <w:p>
            <w:pPr>
              <w:spacing w:after="20"/>
              <w:jc w:val="right"/>
            </w:pPr>
            <w:r>
              <w:rPr>
                <w:rFonts w:ascii="Calibri" w:hAnsi="Calibri"/>
                <w:b w:val="0"/>
                <w:i w:val="0"/>
                <w:color w:val="2B2F38"/>
                <w:sz w:val="18"/>
              </w:rPr>
              <w:t>+12.0</w:t>
            </w:r>
          </w:p>
        </w:tc>
        <w:tc>
          <w:tcPr>
            <w:tcW w:type="dxa" w:w="1711"/>
            <w:shd w:val="clear" w:color="auto" w:fill="FFFFFF"/>
          </w:tcPr>
          <w:p>
            <w:pPr>
              <w:spacing w:after="20"/>
              <w:jc w:val="right"/>
            </w:pPr>
            <w:r>
              <w:rPr>
                <w:rFonts w:ascii="Calibri" w:hAnsi="Calibri"/>
                <w:b w:val="0"/>
                <w:i w:val="0"/>
                <w:color w:val="2B2F38"/>
                <w:sz w:val="18"/>
              </w:rPr>
              <w:t>RootDay BM</w:t>
            </w:r>
          </w:p>
        </w:tc>
        <w:tc>
          <w:tcPr>
            <w:tcW w:type="dxa" w:w="3802"/>
            <w:shd w:val="clear" w:color="auto" w:fill="FFFFFF"/>
          </w:tcPr>
          <w:p>
            <w:pPr>
              <w:spacing w:after="20"/>
              <w:jc w:val="right"/>
            </w:pPr>
            <w:r>
              <w:rPr>
                <w:rFonts w:ascii="Calibri" w:hAnsi="Calibri"/>
                <w:b w:val="0"/>
                <w:i w:val="0"/>
                <w:color w:val="2B2F38"/>
                <w:sz w:val="18"/>
              </w:rPr>
              <w:t>Oat-milk distribution and the single-serve carton concept</w:t>
            </w:r>
          </w:p>
        </w:tc>
      </w:tr>
      <w:tr>
        <w:tc>
          <w:tcPr>
            <w:tcW w:type="dxa" w:w="2851"/>
            <w:shd w:val="clear" w:color="auto" w:fill="F5F7F9"/>
          </w:tcPr>
          <w:p>
            <w:pPr>
              <w:spacing w:after="20"/>
            </w:pPr>
            <w:r>
              <w:rPr>
                <w:rFonts w:ascii="Calibri" w:hAnsi="Calibri"/>
                <w:b w:val="0"/>
                <w:i w:val="0"/>
                <w:color w:val="2B2F38"/>
                <w:sz w:val="18"/>
              </w:rPr>
              <w:t>TrailGrove</w:t>
            </w:r>
          </w:p>
        </w:tc>
        <w:tc>
          <w:tcPr>
            <w:tcW w:type="dxa" w:w="1140"/>
            <w:shd w:val="clear" w:color="auto" w:fill="F5F7F9"/>
          </w:tcPr>
          <w:p>
            <w:pPr>
              <w:spacing w:after="20"/>
              <w:jc w:val="right"/>
            </w:pPr>
            <w:r>
              <w:rPr>
                <w:rFonts w:ascii="Calibri" w:hAnsi="Calibri"/>
                <w:b w:val="0"/>
                <w:i w:val="0"/>
                <w:color w:val="2B2F38"/>
                <w:sz w:val="18"/>
              </w:rPr>
              <w:t>+10.0</w:t>
            </w:r>
          </w:p>
        </w:tc>
        <w:tc>
          <w:tcPr>
            <w:tcW w:type="dxa" w:w="1711"/>
            <w:shd w:val="clear" w:color="auto" w:fill="F5F7F9"/>
          </w:tcPr>
          <w:p>
            <w:pPr>
              <w:spacing w:after="20"/>
              <w:jc w:val="right"/>
            </w:pPr>
            <w:r>
              <w:rPr>
                <w:rFonts w:ascii="Calibri" w:hAnsi="Calibri"/>
                <w:b w:val="0"/>
                <w:i w:val="0"/>
                <w:color w:val="2B2F38"/>
                <w:sz w:val="18"/>
              </w:rPr>
              <w:t>TrailGrove BM</w:t>
            </w:r>
          </w:p>
        </w:tc>
        <w:tc>
          <w:tcPr>
            <w:tcW w:type="dxa" w:w="3802"/>
            <w:shd w:val="clear" w:color="auto" w:fill="F5F7F9"/>
          </w:tcPr>
          <w:p>
            <w:pPr>
              <w:spacing w:after="20"/>
              <w:jc w:val="right"/>
            </w:pPr>
            <w:r>
              <w:rPr>
                <w:rFonts w:ascii="Calibri" w:hAnsi="Calibri"/>
                <w:b w:val="0"/>
                <w:i w:val="0"/>
                <w:color w:val="2B2F38"/>
                <w:sz w:val="18"/>
              </w:rPr>
              <w:t>Granola and bar distribution build</w:t>
            </w:r>
          </w:p>
        </w:tc>
      </w:tr>
      <w:tr>
        <w:tc>
          <w:tcPr>
            <w:tcW w:type="dxa" w:w="2851"/>
            <w:shd w:val="clear" w:color="auto" w:fill="FFFFFF"/>
          </w:tcPr>
          <w:p>
            <w:pPr>
              <w:spacing w:after="20"/>
            </w:pPr>
            <w:r>
              <w:rPr>
                <w:rFonts w:ascii="Calibri" w:hAnsi="Calibri"/>
                <w:b w:val="0"/>
                <w:i w:val="0"/>
                <w:color w:val="2B2F38"/>
                <w:sz w:val="18"/>
              </w:rPr>
              <w:t>Crunchwell</w:t>
            </w:r>
          </w:p>
        </w:tc>
        <w:tc>
          <w:tcPr>
            <w:tcW w:type="dxa" w:w="1140"/>
            <w:shd w:val="clear" w:color="auto" w:fill="FFFFFF"/>
          </w:tcPr>
          <w:p>
            <w:pPr>
              <w:spacing w:after="20"/>
              <w:jc w:val="right"/>
            </w:pPr>
            <w:r>
              <w:rPr>
                <w:rFonts w:ascii="Calibri" w:hAnsi="Calibri"/>
                <w:b w:val="0"/>
                <w:i w:val="0"/>
                <w:color w:val="2B2F38"/>
                <w:sz w:val="18"/>
              </w:rPr>
              <w:t>+6.0</w:t>
            </w:r>
          </w:p>
        </w:tc>
        <w:tc>
          <w:tcPr>
            <w:tcW w:type="dxa" w:w="1711"/>
            <w:shd w:val="clear" w:color="auto" w:fill="FFFFFF"/>
          </w:tcPr>
          <w:p>
            <w:pPr>
              <w:spacing w:after="20"/>
              <w:jc w:val="right"/>
            </w:pPr>
            <w:r>
              <w:rPr>
                <w:rFonts w:ascii="Calibri" w:hAnsi="Calibri"/>
                <w:b w:val="0"/>
                <w:i w:val="0"/>
                <w:color w:val="2B2F38"/>
                <w:sz w:val="18"/>
              </w:rPr>
              <w:t>Cory Whitman</w:t>
            </w:r>
          </w:p>
        </w:tc>
        <w:tc>
          <w:tcPr>
            <w:tcW w:type="dxa" w:w="3802"/>
            <w:shd w:val="clear" w:color="auto" w:fill="FFFFFF"/>
          </w:tcPr>
          <w:p>
            <w:pPr>
              <w:spacing w:after="20"/>
              <w:jc w:val="right"/>
            </w:pPr>
            <w:r>
              <w:rPr>
                <w:rFonts w:ascii="Calibri" w:hAnsi="Calibri"/>
                <w:b w:val="0"/>
                <w:i w:val="0"/>
                <w:color w:val="2B2F38"/>
                <w:sz w:val="18"/>
              </w:rPr>
              <w:t>Aug 15 2026 Pack Refresh; Louisiana recovery to 4.5% share</w:t>
            </w:r>
          </w:p>
        </w:tc>
      </w:tr>
      <w:tr>
        <w:tc>
          <w:tcPr>
            <w:tcW w:type="dxa" w:w="2851"/>
            <w:shd w:val="clear" w:color="auto" w:fill="F5F7F9"/>
          </w:tcPr>
          <w:p>
            <w:pPr>
              <w:spacing w:after="20"/>
            </w:pPr>
            <w:r>
              <w:rPr>
                <w:rFonts w:ascii="Calibri" w:hAnsi="Calibri"/>
                <w:b w:val="0"/>
                <w:i w:val="0"/>
                <w:color w:val="2B2F38"/>
                <w:sz w:val="18"/>
              </w:rPr>
              <w:t>MorningOats</w:t>
            </w:r>
          </w:p>
        </w:tc>
        <w:tc>
          <w:tcPr>
            <w:tcW w:type="dxa" w:w="1140"/>
            <w:shd w:val="clear" w:color="auto" w:fill="F5F7F9"/>
          </w:tcPr>
          <w:p>
            <w:pPr>
              <w:spacing w:after="20"/>
              <w:jc w:val="right"/>
            </w:pPr>
            <w:r>
              <w:rPr>
                <w:rFonts w:ascii="Calibri" w:hAnsi="Calibri"/>
                <w:b w:val="0"/>
                <w:i w:val="0"/>
                <w:color w:val="2B2F38"/>
                <w:sz w:val="18"/>
              </w:rPr>
              <w:t>+4.8</w:t>
            </w:r>
          </w:p>
        </w:tc>
        <w:tc>
          <w:tcPr>
            <w:tcW w:type="dxa" w:w="1711"/>
            <w:shd w:val="clear" w:color="auto" w:fill="F5F7F9"/>
          </w:tcPr>
          <w:p>
            <w:pPr>
              <w:spacing w:after="20"/>
              <w:jc w:val="right"/>
            </w:pPr>
            <w:r>
              <w:rPr>
                <w:rFonts w:ascii="Calibri" w:hAnsi="Calibri"/>
                <w:b w:val="0"/>
                <w:i w:val="0"/>
                <w:color w:val="2B2F38"/>
                <w:sz w:val="18"/>
              </w:rPr>
              <w:t>MorningOats BM</w:t>
            </w:r>
          </w:p>
        </w:tc>
        <w:tc>
          <w:tcPr>
            <w:tcW w:type="dxa" w:w="3802"/>
            <w:shd w:val="clear" w:color="auto" w:fill="F5F7F9"/>
          </w:tcPr>
          <w:p>
            <w:pPr>
              <w:spacing w:after="20"/>
              <w:jc w:val="right"/>
            </w:pPr>
            <w:r>
              <w:rPr>
                <w:rFonts w:ascii="Calibri" w:hAnsi="Calibri"/>
                <w:b w:val="0"/>
                <w:i w:val="0"/>
                <w:color w:val="2B2F38"/>
                <w:sz w:val="18"/>
              </w:rPr>
              <w:t>Single-serve cups, the +9.8% segment</w:t>
            </w:r>
          </w:p>
        </w:tc>
      </w:tr>
      <w:tr>
        <w:tc>
          <w:tcPr>
            <w:tcW w:type="dxa" w:w="2851"/>
            <w:shd w:val="clear" w:color="auto" w:fill="FFFFFF"/>
          </w:tcPr>
          <w:p>
            <w:pPr>
              <w:spacing w:after="20"/>
            </w:pPr>
            <w:r>
              <w:rPr>
                <w:rFonts w:ascii="Calibri" w:hAnsi="Calibri"/>
                <w:b w:val="0"/>
                <w:i w:val="0"/>
                <w:color w:val="2B2F38"/>
                <w:sz w:val="18"/>
              </w:rPr>
              <w:t>HoneyNest</w:t>
            </w:r>
          </w:p>
        </w:tc>
        <w:tc>
          <w:tcPr>
            <w:tcW w:type="dxa" w:w="1140"/>
            <w:shd w:val="clear" w:color="auto" w:fill="FFFFFF"/>
          </w:tcPr>
          <w:p>
            <w:pPr>
              <w:spacing w:after="20"/>
              <w:jc w:val="right"/>
            </w:pPr>
            <w:r>
              <w:rPr>
                <w:rFonts w:ascii="Calibri" w:hAnsi="Calibri"/>
                <w:b w:val="0"/>
                <w:i w:val="0"/>
                <w:color w:val="2B2F38"/>
                <w:sz w:val="18"/>
              </w:rPr>
              <w:t>-2.0</w:t>
            </w:r>
          </w:p>
        </w:tc>
        <w:tc>
          <w:tcPr>
            <w:tcW w:type="dxa" w:w="1711"/>
            <w:shd w:val="clear" w:color="auto" w:fill="FFFFFF"/>
          </w:tcPr>
          <w:p>
            <w:pPr>
              <w:spacing w:after="20"/>
              <w:jc w:val="right"/>
            </w:pPr>
            <w:r>
              <w:rPr>
                <w:rFonts w:ascii="Calibri" w:hAnsi="Calibri"/>
                <w:b w:val="0"/>
                <w:i w:val="0"/>
                <w:color w:val="2B2F38"/>
                <w:sz w:val="18"/>
              </w:rPr>
              <w:t>HoneyNest BM</w:t>
            </w:r>
          </w:p>
        </w:tc>
        <w:tc>
          <w:tcPr>
            <w:tcW w:type="dxa" w:w="3802"/>
            <w:shd w:val="clear" w:color="auto" w:fill="FFFFFF"/>
          </w:tcPr>
          <w:p>
            <w:pPr>
              <w:spacing w:after="20"/>
              <w:jc w:val="right"/>
            </w:pPr>
            <w:r>
              <w:rPr>
                <w:rFonts w:ascii="Calibri" w:hAnsi="Calibri"/>
                <w:b w:val="0"/>
                <w:i w:val="0"/>
                <w:color w:val="2B2F38"/>
                <w:sz w:val="18"/>
              </w:rPr>
              <w:t>Deliberate: harvest decision, three SKUs discontinued</w:t>
            </w:r>
          </w:p>
        </w:tc>
      </w:tr>
      <w:tr>
        <w:tc>
          <w:tcPr>
            <w:tcW w:type="dxa" w:w="2851"/>
            <w:shd w:val="clear" w:color="auto" w:fill="F5F7F9"/>
          </w:tcPr>
          <w:p>
            <w:pPr>
              <w:spacing w:after="20"/>
            </w:pPr>
            <w:r>
              <w:rPr>
                <w:rFonts w:ascii="Calibri" w:hAnsi="Calibri"/>
                <w:b w:val="0"/>
                <w:i w:val="0"/>
                <w:color w:val="2B2F38"/>
                <w:sz w:val="18"/>
              </w:rPr>
              <w:t>Adjacency and mix</w:t>
            </w:r>
          </w:p>
        </w:tc>
        <w:tc>
          <w:tcPr>
            <w:tcW w:type="dxa" w:w="1140"/>
            <w:shd w:val="clear" w:color="auto" w:fill="F5F7F9"/>
          </w:tcPr>
          <w:p>
            <w:pPr>
              <w:spacing w:after="20"/>
              <w:jc w:val="right"/>
            </w:pPr>
            <w:r>
              <w:rPr>
                <w:rFonts w:ascii="Calibri" w:hAnsi="Calibri"/>
                <w:b w:val="0"/>
                <w:i w:val="0"/>
                <w:color w:val="2B2F38"/>
                <w:sz w:val="18"/>
              </w:rPr>
              <w:t>-14.8</w:t>
            </w:r>
          </w:p>
        </w:tc>
        <w:tc>
          <w:tcPr>
            <w:tcW w:type="dxa" w:w="1711"/>
            <w:shd w:val="clear" w:color="auto" w:fill="F5F7F9"/>
          </w:tcPr>
          <w:p>
            <w:pPr>
              <w:spacing w:after="20"/>
              <w:jc w:val="right"/>
            </w:pPr>
            <w:r>
              <w:rPr>
                <w:rFonts w:ascii="Calibri" w:hAnsi="Calibri"/>
                <w:b w:val="0"/>
                <w:i w:val="0"/>
                <w:color w:val="2B2F38"/>
                <w:sz w:val="18"/>
              </w:rPr>
              <w:t>RGM Lead</w:t>
            </w:r>
          </w:p>
        </w:tc>
        <w:tc>
          <w:tcPr>
            <w:tcW w:type="dxa" w:w="3802"/>
            <w:shd w:val="clear" w:color="auto" w:fill="F5F7F9"/>
          </w:tcPr>
          <w:p>
            <w:pPr>
              <w:spacing w:after="20"/>
              <w:jc w:val="right"/>
            </w:pPr>
            <w:r>
              <w:rPr>
                <w:rFonts w:ascii="Calibri" w:hAnsi="Calibri"/>
                <w:b w:val="0"/>
                <w:i w:val="0"/>
                <w:color w:val="2B2F38"/>
                <w:sz w:val="18"/>
              </w:rPr>
              <w:t>Derived residual: non-brand revenue, pack mix, no list-price increase</w:t>
            </w:r>
          </w:p>
        </w:tc>
      </w:tr>
      <w:tr>
        <w:tc>
          <w:tcPr>
            <w:tcW w:type="dxa" w:w="2851"/>
            <w:shd w:val="clear" w:color="auto" w:fill="EAEEF2"/>
          </w:tcPr>
          <w:p>
            <w:pPr>
              <w:spacing w:after="20"/>
            </w:pPr>
            <w:r>
              <w:rPr>
                <w:rFonts w:ascii="Calibri" w:hAnsi="Calibri"/>
                <w:b/>
                <w:i w:val="0"/>
                <w:color w:val="2B2F38"/>
                <w:sz w:val="18"/>
              </w:rPr>
              <w:t>FY2027 plan</w:t>
            </w:r>
          </w:p>
        </w:tc>
        <w:tc>
          <w:tcPr>
            <w:tcW w:type="dxa" w:w="1140"/>
            <w:shd w:val="clear" w:color="auto" w:fill="EAEEF2"/>
          </w:tcPr>
          <w:p>
            <w:pPr>
              <w:spacing w:after="20"/>
              <w:jc w:val="right"/>
            </w:pPr>
            <w:r>
              <w:rPr>
                <w:rFonts w:ascii="Calibri" w:hAnsi="Calibri"/>
                <w:b/>
                <w:i w:val="0"/>
                <w:color w:val="2B2F38"/>
                <w:sz w:val="18"/>
              </w:rPr>
              <w:t>880.0</w:t>
            </w:r>
          </w:p>
        </w:tc>
        <w:tc>
          <w:tcPr>
            <w:tcW w:type="dxa" w:w="1711"/>
            <w:shd w:val="clear" w:color="auto" w:fill="EAEEF2"/>
          </w:tcPr>
          <w:p>
            <w:pPr>
              <w:spacing w:after="20"/>
              <w:jc w:val="right"/>
            </w:pPr>
            <w:r>
              <w:rPr>
                <w:rFonts w:ascii="Calibri" w:hAnsi="Calibri"/>
                <w:b/>
                <w:i w:val="0"/>
                <w:color w:val="2B2F38"/>
                <w:sz w:val="18"/>
              </w:rPr>
              <w:t>CFO</w:t>
            </w:r>
          </w:p>
        </w:tc>
        <w:tc>
          <w:tcPr>
            <w:tcW w:type="dxa" w:w="3802"/>
            <w:shd w:val="clear" w:color="auto" w:fill="EAEEF2"/>
          </w:tcPr>
          <w:p>
            <w:pPr>
              <w:spacing w:after="20"/>
              <w:jc w:val="right"/>
            </w:pPr>
            <w:r>
              <w:rPr>
                <w:rFonts w:ascii="Calibri" w:hAnsi="Calibri"/>
                <w:b/>
                <w:i w:val="0"/>
                <w:color w:val="2B2F38"/>
                <w:sz w:val="18"/>
              </w:rPr>
              <w:t>All of the above</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FY25 brand base from seeds/skus.csv; FY27 brand targets per the FY27 AOP (Report 14); the adjacency line is the derived residual.</w:t>
      </w:r>
    </w:p>
    <w:p>
      <w:pPr>
        <w:keepNext/>
        <w:spacing w:after="40" w:before="240" w:line="274" w:lineRule="auto"/>
      </w:pPr>
      <w:r>
        <w:rPr>
          <w:rFonts w:ascii="Calibri" w:hAnsi="Calibri"/>
          <w:b/>
          <w:i w:val="0"/>
          <w:color w:val="2E7D75"/>
          <w:sz w:val="18"/>
        </w:rPr>
        <w:t>BY BRAND</w:t>
      </w:r>
    </w:p>
    <w:p>
      <w:pPr>
        <w:keepNext/>
        <w:spacing w:after="100" w:before="0" w:line="274" w:lineRule="auto"/>
      </w:pPr>
      <w:r>
        <w:rPr>
          <w:rFonts w:ascii="Calibri" w:hAnsi="Calibri"/>
          <w:b/>
          <w:i w:val="0"/>
          <w:color w:val="1F2A44"/>
          <w:sz w:val="31"/>
        </w:rPr>
        <w:t>3 · Brand-level plan and the logic of each number</w:t>
      </w:r>
    </w:p>
    <w:p>
      <w:pPr>
        <w:keepNext w:val="0"/>
        <w:spacing w:after="120" w:before="0" w:line="274" w:lineRule="auto"/>
      </w:pPr>
      <w:r>
        <w:rPr>
          <w:rFonts w:ascii="Calibri" w:hAnsi="Calibri"/>
          <w:b w:val="0"/>
          <w:i w:val="0"/>
          <w:color w:val="2B2F38"/>
          <w:sz w:val="21"/>
        </w:rPr>
        <w:t>Four of six brands are asked to grow; one is asked to decline; one is asked to grow substantially. The asymmetry is the plan.</w:t>
      </w:r>
    </w:p>
    <w:p>
      <w:pPr>
        <w:keepNext/>
        <w:spacing w:after="60" w:before="180" w:line="274" w:lineRule="auto"/>
      </w:pPr>
      <w:r>
        <w:rPr>
          <w:rFonts w:ascii="Calibri" w:hAnsi="Calibri"/>
          <w:b/>
          <w:i w:val="0"/>
          <w:color w:val="1F2A44"/>
          <w:sz w:val="23"/>
        </w:rPr>
        <w:t>3.1 · Where each brand sits today (Q1 FY2026)</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2661"/>
        <w:gridCol w:w="1711"/>
        <w:gridCol w:w="1711"/>
        <w:gridCol w:w="1521"/>
        <w:gridCol w:w="1901"/>
      </w:tblGrid>
      <w:tr>
        <w:tc>
          <w:tcPr>
            <w:tcW w:type="dxa" w:w="2661"/>
            <w:shd w:val="clear" w:color="auto" w:fill="1F2A44"/>
          </w:tcPr>
          <w:p>
            <w:pPr>
              <w:spacing w:after="20"/>
            </w:pPr>
            <w:r>
              <w:rPr>
                <w:rFonts w:ascii="Calibri" w:hAnsi="Calibri"/>
                <w:b/>
                <w:i w:val="0"/>
                <w:color w:val="FFFFFF"/>
                <w:sz w:val="18"/>
              </w:rPr>
              <w:t>Brand</w:t>
            </w:r>
          </w:p>
        </w:tc>
        <w:tc>
          <w:tcPr>
            <w:tcW w:type="dxa" w:w="1711"/>
            <w:shd w:val="clear" w:color="auto" w:fill="1F2A44"/>
          </w:tcPr>
          <w:p>
            <w:pPr>
              <w:spacing w:after="20"/>
              <w:jc w:val="right"/>
            </w:pPr>
            <w:r>
              <w:rPr>
                <w:rFonts w:ascii="Calibri" w:hAnsi="Calibri"/>
                <w:b/>
                <w:i w:val="0"/>
                <w:color w:val="FFFFFF"/>
                <w:sz w:val="18"/>
              </w:rPr>
              <w:t>Q1 plan</w:t>
            </w:r>
          </w:p>
        </w:tc>
        <w:tc>
          <w:tcPr>
            <w:tcW w:type="dxa" w:w="1711"/>
            <w:shd w:val="clear" w:color="auto" w:fill="1F2A44"/>
          </w:tcPr>
          <w:p>
            <w:pPr>
              <w:spacing w:after="20"/>
              <w:jc w:val="right"/>
            </w:pPr>
            <w:r>
              <w:rPr>
                <w:rFonts w:ascii="Calibri" w:hAnsi="Calibri"/>
                <w:b/>
                <w:i w:val="0"/>
                <w:color w:val="FFFFFF"/>
                <w:sz w:val="18"/>
              </w:rPr>
              <w:t>Q1 actual</w:t>
            </w:r>
          </w:p>
        </w:tc>
        <w:tc>
          <w:tcPr>
            <w:tcW w:type="dxa" w:w="1521"/>
            <w:shd w:val="clear" w:color="auto" w:fill="1F2A44"/>
          </w:tcPr>
          <w:p>
            <w:pPr>
              <w:spacing w:after="20"/>
              <w:jc w:val="right"/>
            </w:pPr>
            <w:r>
              <w:rPr>
                <w:rFonts w:ascii="Calibri" w:hAnsi="Calibri"/>
                <w:b/>
                <w:i w:val="0"/>
                <w:color w:val="FFFFFF"/>
                <w:sz w:val="18"/>
              </w:rPr>
              <w:t>Variance</w:t>
            </w:r>
          </w:p>
        </w:tc>
        <w:tc>
          <w:tcPr>
            <w:tcW w:type="dxa" w:w="1901"/>
            <w:shd w:val="clear" w:color="auto" w:fill="1F2A44"/>
          </w:tcPr>
          <w:p>
            <w:pPr>
              <w:spacing w:after="20"/>
              <w:jc w:val="right"/>
            </w:pPr>
            <w:r>
              <w:rPr>
                <w:rFonts w:ascii="Calibri" w:hAnsi="Calibri"/>
                <w:b/>
                <w:i w:val="0"/>
                <w:color w:val="FFFFFF"/>
                <w:sz w:val="18"/>
              </w:rPr>
              <w:t>Status</w:t>
            </w:r>
          </w:p>
        </w:tc>
      </w:tr>
      <w:tr>
        <w:tc>
          <w:tcPr>
            <w:tcW w:type="dxa" w:w="2661"/>
            <w:shd w:val="clear" w:color="auto" w:fill="FFFFFF"/>
          </w:tcPr>
          <w:p>
            <w:pPr>
              <w:spacing w:after="20"/>
            </w:pPr>
            <w:r>
              <w:rPr>
                <w:rFonts w:ascii="Calibri" w:hAnsi="Calibri"/>
                <w:b w:val="0"/>
                <w:i w:val="0"/>
                <w:color w:val="2B2F38"/>
                <w:sz w:val="19"/>
              </w:rPr>
              <w:t>Crunchwell</w:t>
            </w:r>
          </w:p>
        </w:tc>
        <w:tc>
          <w:tcPr>
            <w:tcW w:type="dxa" w:w="1711"/>
            <w:shd w:val="clear" w:color="auto" w:fill="FFFFFF"/>
          </w:tcPr>
          <w:p>
            <w:pPr>
              <w:spacing w:after="20"/>
              <w:jc w:val="right"/>
            </w:pPr>
            <w:r>
              <w:rPr>
                <w:rFonts w:ascii="Calibri" w:hAnsi="Calibri"/>
                <w:b w:val="0"/>
                <w:i w:val="0"/>
                <w:color w:val="2B2F38"/>
                <w:sz w:val="19"/>
              </w:rPr>
              <w:t>$75.6M</w:t>
            </w:r>
          </w:p>
        </w:tc>
        <w:tc>
          <w:tcPr>
            <w:tcW w:type="dxa" w:w="1711"/>
            <w:shd w:val="clear" w:color="auto" w:fill="FFFFFF"/>
          </w:tcPr>
          <w:p>
            <w:pPr>
              <w:spacing w:after="20"/>
              <w:jc w:val="right"/>
            </w:pPr>
            <w:r>
              <w:rPr>
                <w:rFonts w:ascii="Calibri" w:hAnsi="Calibri"/>
                <w:b w:val="0"/>
                <w:i w:val="0"/>
                <w:color w:val="2B2F38"/>
                <w:sz w:val="19"/>
              </w:rPr>
              <w:t>$71.1M</w:t>
            </w:r>
          </w:p>
        </w:tc>
        <w:tc>
          <w:tcPr>
            <w:tcW w:type="dxa" w:w="1521"/>
            <w:shd w:val="clear" w:color="auto" w:fill="FFFFFF"/>
          </w:tcPr>
          <w:p>
            <w:pPr>
              <w:spacing w:after="20"/>
              <w:jc w:val="right"/>
            </w:pPr>
            <w:r>
              <w:rPr>
                <w:rFonts w:ascii="Calibri" w:hAnsi="Calibri"/>
                <w:b w:val="0"/>
                <w:i w:val="0"/>
                <w:color w:val="2B2F38"/>
                <w:sz w:val="19"/>
              </w:rPr>
              <w:t>-5.9%</w:t>
            </w:r>
          </w:p>
        </w:tc>
        <w:tc>
          <w:tcPr>
            <w:tcW w:type="dxa" w:w="1901"/>
            <w:shd w:val="clear" w:color="auto" w:fill="FFFFFF"/>
          </w:tcPr>
          <w:p>
            <w:pPr>
              <w:spacing w:after="20"/>
              <w:jc w:val="right"/>
            </w:pPr>
            <w:r>
              <w:rPr>
                <w:rFonts w:ascii="Calibri" w:hAnsi="Calibri"/>
                <w:b/>
                <w:i w:val="0"/>
                <w:color w:val="C08A1E"/>
                <w:sz w:val="19"/>
              </w:rPr>
              <w:t>Watch</w:t>
            </w:r>
          </w:p>
        </w:tc>
      </w:tr>
      <w:tr>
        <w:tc>
          <w:tcPr>
            <w:tcW w:type="dxa" w:w="2661"/>
            <w:shd w:val="clear" w:color="auto" w:fill="F5F7F9"/>
          </w:tcPr>
          <w:p>
            <w:pPr>
              <w:spacing w:after="20"/>
            </w:pPr>
            <w:r>
              <w:rPr>
                <w:rFonts w:ascii="Calibri" w:hAnsi="Calibri"/>
                <w:b w:val="0"/>
                <w:i w:val="0"/>
                <w:color w:val="2B2F38"/>
                <w:sz w:val="19"/>
              </w:rPr>
              <w:t>TrailGrove</w:t>
            </w:r>
          </w:p>
        </w:tc>
        <w:tc>
          <w:tcPr>
            <w:tcW w:type="dxa" w:w="1711"/>
            <w:shd w:val="clear" w:color="auto" w:fill="F5F7F9"/>
          </w:tcPr>
          <w:p>
            <w:pPr>
              <w:spacing w:after="20"/>
              <w:jc w:val="right"/>
            </w:pPr>
            <w:r>
              <w:rPr>
                <w:rFonts w:ascii="Calibri" w:hAnsi="Calibri"/>
                <w:b w:val="0"/>
                <w:i w:val="0"/>
                <w:color w:val="2B2F38"/>
                <w:sz w:val="19"/>
              </w:rPr>
              <w:t>$38.1M</w:t>
            </w:r>
          </w:p>
        </w:tc>
        <w:tc>
          <w:tcPr>
            <w:tcW w:type="dxa" w:w="1711"/>
            <w:shd w:val="clear" w:color="auto" w:fill="F5F7F9"/>
          </w:tcPr>
          <w:p>
            <w:pPr>
              <w:spacing w:after="20"/>
              <w:jc w:val="right"/>
            </w:pPr>
            <w:r>
              <w:rPr>
                <w:rFonts w:ascii="Calibri" w:hAnsi="Calibri"/>
                <w:b w:val="0"/>
                <w:i w:val="0"/>
                <w:color w:val="2B2F38"/>
                <w:sz w:val="19"/>
              </w:rPr>
              <w:t>$37.5M</w:t>
            </w:r>
          </w:p>
        </w:tc>
        <w:tc>
          <w:tcPr>
            <w:tcW w:type="dxa" w:w="1521"/>
            <w:shd w:val="clear" w:color="auto" w:fill="F5F7F9"/>
          </w:tcPr>
          <w:p>
            <w:pPr>
              <w:spacing w:after="20"/>
              <w:jc w:val="right"/>
            </w:pPr>
            <w:r>
              <w:rPr>
                <w:rFonts w:ascii="Calibri" w:hAnsi="Calibri"/>
                <w:b w:val="0"/>
                <w:i w:val="0"/>
                <w:color w:val="2B2F38"/>
                <w:sz w:val="19"/>
              </w:rPr>
              <w:t>-1.7%</w:t>
            </w:r>
          </w:p>
        </w:tc>
        <w:tc>
          <w:tcPr>
            <w:tcW w:type="dxa" w:w="1901"/>
            <w:shd w:val="clear" w:color="auto" w:fill="F5F7F9"/>
          </w:tcPr>
          <w:p>
            <w:pPr>
              <w:spacing w:after="20"/>
              <w:jc w:val="right"/>
            </w:pPr>
            <w:r>
              <w:rPr>
                <w:rFonts w:ascii="Calibri" w:hAnsi="Calibri"/>
                <w:b/>
                <w:i w:val="0"/>
                <w:color w:val="2E7D5B"/>
                <w:sz w:val="19"/>
              </w:rPr>
              <w:t>On track</w:t>
            </w:r>
          </w:p>
        </w:tc>
      </w:tr>
      <w:tr>
        <w:tc>
          <w:tcPr>
            <w:tcW w:type="dxa" w:w="2661"/>
            <w:shd w:val="clear" w:color="auto" w:fill="FFFFFF"/>
          </w:tcPr>
          <w:p>
            <w:pPr>
              <w:spacing w:after="20"/>
            </w:pPr>
            <w:r>
              <w:rPr>
                <w:rFonts w:ascii="Calibri" w:hAnsi="Calibri"/>
                <w:b w:val="0"/>
                <w:i w:val="0"/>
                <w:color w:val="2B2F38"/>
                <w:sz w:val="19"/>
              </w:rPr>
              <w:t>MorningOats</w:t>
            </w:r>
          </w:p>
        </w:tc>
        <w:tc>
          <w:tcPr>
            <w:tcW w:type="dxa" w:w="1711"/>
            <w:shd w:val="clear" w:color="auto" w:fill="FFFFFF"/>
          </w:tcPr>
          <w:p>
            <w:pPr>
              <w:spacing w:after="20"/>
              <w:jc w:val="right"/>
            </w:pPr>
            <w:r>
              <w:rPr>
                <w:rFonts w:ascii="Calibri" w:hAnsi="Calibri"/>
                <w:b w:val="0"/>
                <w:i w:val="0"/>
                <w:color w:val="2B2F38"/>
                <w:sz w:val="19"/>
              </w:rPr>
              <w:t>$23.3M</w:t>
            </w:r>
          </w:p>
        </w:tc>
        <w:tc>
          <w:tcPr>
            <w:tcW w:type="dxa" w:w="1711"/>
            <w:shd w:val="clear" w:color="auto" w:fill="FFFFFF"/>
          </w:tcPr>
          <w:p>
            <w:pPr>
              <w:spacing w:after="20"/>
              <w:jc w:val="right"/>
            </w:pPr>
            <w:r>
              <w:rPr>
                <w:rFonts w:ascii="Calibri" w:hAnsi="Calibri"/>
                <w:b w:val="0"/>
                <w:i w:val="0"/>
                <w:color w:val="2B2F38"/>
                <w:sz w:val="19"/>
              </w:rPr>
              <w:t>$23.1M</w:t>
            </w:r>
          </w:p>
        </w:tc>
        <w:tc>
          <w:tcPr>
            <w:tcW w:type="dxa" w:w="1521"/>
            <w:shd w:val="clear" w:color="auto" w:fill="FFFFFF"/>
          </w:tcPr>
          <w:p>
            <w:pPr>
              <w:spacing w:after="20"/>
              <w:jc w:val="right"/>
            </w:pPr>
            <w:r>
              <w:rPr>
                <w:rFonts w:ascii="Calibri" w:hAnsi="Calibri"/>
                <w:b w:val="0"/>
                <w:i w:val="0"/>
                <w:color w:val="2B2F38"/>
                <w:sz w:val="19"/>
              </w:rPr>
              <w:t>-1.1%</w:t>
            </w:r>
          </w:p>
        </w:tc>
        <w:tc>
          <w:tcPr>
            <w:tcW w:type="dxa" w:w="1901"/>
            <w:shd w:val="clear" w:color="auto" w:fill="FFFFFF"/>
          </w:tcPr>
          <w:p>
            <w:pPr>
              <w:spacing w:after="20"/>
              <w:jc w:val="right"/>
            </w:pPr>
            <w:r>
              <w:rPr>
                <w:rFonts w:ascii="Calibri" w:hAnsi="Calibri"/>
                <w:b/>
                <w:i w:val="0"/>
                <w:color w:val="2E7D5B"/>
                <w:sz w:val="19"/>
              </w:rPr>
              <w:t>On track</w:t>
            </w:r>
          </w:p>
        </w:tc>
      </w:tr>
      <w:tr>
        <w:tc>
          <w:tcPr>
            <w:tcW w:type="dxa" w:w="2661"/>
            <w:shd w:val="clear" w:color="auto" w:fill="F5F7F9"/>
          </w:tcPr>
          <w:p>
            <w:pPr>
              <w:spacing w:after="20"/>
            </w:pPr>
            <w:r>
              <w:rPr>
                <w:rFonts w:ascii="Calibri" w:hAnsi="Calibri"/>
                <w:b w:val="0"/>
                <w:i w:val="0"/>
                <w:color w:val="2B2F38"/>
                <w:sz w:val="19"/>
              </w:rPr>
              <w:t>HoneyNest</w:t>
            </w:r>
          </w:p>
        </w:tc>
        <w:tc>
          <w:tcPr>
            <w:tcW w:type="dxa" w:w="1711"/>
            <w:shd w:val="clear" w:color="auto" w:fill="F5F7F9"/>
          </w:tcPr>
          <w:p>
            <w:pPr>
              <w:spacing w:after="20"/>
              <w:jc w:val="right"/>
            </w:pPr>
            <w:r>
              <w:rPr>
                <w:rFonts w:ascii="Calibri" w:hAnsi="Calibri"/>
                <w:b w:val="0"/>
                <w:i w:val="0"/>
                <w:color w:val="2B2F38"/>
                <w:sz w:val="19"/>
              </w:rPr>
              <w:t>$20.4M</w:t>
            </w:r>
          </w:p>
        </w:tc>
        <w:tc>
          <w:tcPr>
            <w:tcW w:type="dxa" w:w="1711"/>
            <w:shd w:val="clear" w:color="auto" w:fill="F5F7F9"/>
          </w:tcPr>
          <w:p>
            <w:pPr>
              <w:spacing w:after="20"/>
              <w:jc w:val="right"/>
            </w:pPr>
            <w:r>
              <w:rPr>
                <w:rFonts w:ascii="Calibri" w:hAnsi="Calibri"/>
                <w:b w:val="0"/>
                <w:i w:val="0"/>
                <w:color w:val="2B2F38"/>
                <w:sz w:val="19"/>
              </w:rPr>
              <w:t>$20.2M</w:t>
            </w:r>
          </w:p>
        </w:tc>
        <w:tc>
          <w:tcPr>
            <w:tcW w:type="dxa" w:w="1521"/>
            <w:shd w:val="clear" w:color="auto" w:fill="F5F7F9"/>
          </w:tcPr>
          <w:p>
            <w:pPr>
              <w:spacing w:after="20"/>
              <w:jc w:val="right"/>
            </w:pPr>
            <w:r>
              <w:rPr>
                <w:rFonts w:ascii="Calibri" w:hAnsi="Calibri"/>
                <w:b w:val="0"/>
                <w:i w:val="0"/>
                <w:color w:val="2B2F38"/>
                <w:sz w:val="19"/>
              </w:rPr>
              <w:t>-1.1%</w:t>
            </w:r>
          </w:p>
        </w:tc>
        <w:tc>
          <w:tcPr>
            <w:tcW w:type="dxa" w:w="1901"/>
            <w:shd w:val="clear" w:color="auto" w:fill="F5F7F9"/>
          </w:tcPr>
          <w:p>
            <w:pPr>
              <w:spacing w:after="20"/>
              <w:jc w:val="right"/>
            </w:pPr>
            <w:r>
              <w:rPr>
                <w:rFonts w:ascii="Calibri" w:hAnsi="Calibri"/>
                <w:b/>
                <w:i w:val="0"/>
                <w:color w:val="2E7D5B"/>
                <w:sz w:val="19"/>
              </w:rPr>
              <w:t>On track</w:t>
            </w:r>
          </w:p>
        </w:tc>
      </w:tr>
      <w:tr>
        <w:tc>
          <w:tcPr>
            <w:tcW w:type="dxa" w:w="2661"/>
            <w:shd w:val="clear" w:color="auto" w:fill="FFFFFF"/>
          </w:tcPr>
          <w:p>
            <w:pPr>
              <w:spacing w:after="20"/>
            </w:pPr>
            <w:r>
              <w:rPr>
                <w:rFonts w:ascii="Calibri" w:hAnsi="Calibri"/>
                <w:b w:val="0"/>
                <w:i w:val="0"/>
                <w:color w:val="2B2F38"/>
                <w:sz w:val="19"/>
              </w:rPr>
              <w:t>ProteinPeak</w:t>
            </w:r>
          </w:p>
        </w:tc>
        <w:tc>
          <w:tcPr>
            <w:tcW w:type="dxa" w:w="1711"/>
            <w:shd w:val="clear" w:color="auto" w:fill="FFFFFF"/>
          </w:tcPr>
          <w:p>
            <w:pPr>
              <w:spacing w:after="20"/>
              <w:jc w:val="right"/>
            </w:pPr>
            <w:r>
              <w:rPr>
                <w:rFonts w:ascii="Calibri" w:hAnsi="Calibri"/>
                <w:b w:val="0"/>
                <w:i w:val="0"/>
                <w:color w:val="2B2F38"/>
                <w:sz w:val="19"/>
              </w:rPr>
              <w:t>$17.4M</w:t>
            </w:r>
          </w:p>
        </w:tc>
        <w:tc>
          <w:tcPr>
            <w:tcW w:type="dxa" w:w="1711"/>
            <w:shd w:val="clear" w:color="auto" w:fill="FFFFFF"/>
          </w:tcPr>
          <w:p>
            <w:pPr>
              <w:spacing w:after="20"/>
              <w:jc w:val="right"/>
            </w:pPr>
            <w:r>
              <w:rPr>
                <w:rFonts w:ascii="Calibri" w:hAnsi="Calibri"/>
                <w:b w:val="0"/>
                <w:i w:val="0"/>
                <w:color w:val="2B2F38"/>
                <w:sz w:val="19"/>
              </w:rPr>
              <w:t>$13.0M</w:t>
            </w:r>
          </w:p>
        </w:tc>
        <w:tc>
          <w:tcPr>
            <w:tcW w:type="dxa" w:w="1521"/>
            <w:shd w:val="clear" w:color="auto" w:fill="FFFFFF"/>
          </w:tcPr>
          <w:p>
            <w:pPr>
              <w:spacing w:after="20"/>
              <w:jc w:val="right"/>
            </w:pPr>
            <w:r>
              <w:rPr>
                <w:rFonts w:ascii="Calibri" w:hAnsi="Calibri"/>
                <w:b w:val="0"/>
                <w:i w:val="0"/>
                <w:color w:val="2B2F38"/>
                <w:sz w:val="19"/>
              </w:rPr>
              <w:t>-25.4%</w:t>
            </w:r>
          </w:p>
        </w:tc>
        <w:tc>
          <w:tcPr>
            <w:tcW w:type="dxa" w:w="1901"/>
            <w:shd w:val="clear" w:color="auto" w:fill="FFFFFF"/>
          </w:tcPr>
          <w:p>
            <w:pPr>
              <w:spacing w:after="20"/>
              <w:jc w:val="right"/>
            </w:pPr>
            <w:r>
              <w:rPr>
                <w:rFonts w:ascii="Calibri" w:hAnsi="Calibri"/>
                <w:b/>
                <w:i w:val="0"/>
                <w:color w:val="B24A2E"/>
                <w:sz w:val="19"/>
              </w:rPr>
              <w:t>Action</w:t>
            </w:r>
          </w:p>
        </w:tc>
      </w:tr>
      <w:tr>
        <w:tc>
          <w:tcPr>
            <w:tcW w:type="dxa" w:w="2661"/>
            <w:shd w:val="clear" w:color="auto" w:fill="F5F7F9"/>
          </w:tcPr>
          <w:p>
            <w:pPr>
              <w:spacing w:after="20"/>
            </w:pPr>
            <w:r>
              <w:rPr>
                <w:rFonts w:ascii="Calibri" w:hAnsi="Calibri"/>
                <w:b w:val="0"/>
                <w:i w:val="0"/>
                <w:color w:val="2B2F38"/>
                <w:sz w:val="19"/>
              </w:rPr>
              <w:t>RootDay</w:t>
            </w:r>
          </w:p>
        </w:tc>
        <w:tc>
          <w:tcPr>
            <w:tcW w:type="dxa" w:w="1711"/>
            <w:shd w:val="clear" w:color="auto" w:fill="F5F7F9"/>
          </w:tcPr>
          <w:p>
            <w:pPr>
              <w:spacing w:after="20"/>
              <w:jc w:val="right"/>
            </w:pPr>
            <w:r>
              <w:rPr>
                <w:rFonts w:ascii="Calibri" w:hAnsi="Calibri"/>
                <w:b w:val="0"/>
                <w:i w:val="0"/>
                <w:color w:val="2B2F38"/>
                <w:sz w:val="19"/>
              </w:rPr>
              <w:t>$16.4M</w:t>
            </w:r>
          </w:p>
        </w:tc>
        <w:tc>
          <w:tcPr>
            <w:tcW w:type="dxa" w:w="1711"/>
            <w:shd w:val="clear" w:color="auto" w:fill="F5F7F9"/>
          </w:tcPr>
          <w:p>
            <w:pPr>
              <w:spacing w:after="20"/>
              <w:jc w:val="right"/>
            </w:pPr>
            <w:r>
              <w:rPr>
                <w:rFonts w:ascii="Calibri" w:hAnsi="Calibri"/>
                <w:b w:val="0"/>
                <w:i w:val="0"/>
                <w:color w:val="2B2F38"/>
                <w:sz w:val="19"/>
              </w:rPr>
              <w:t>$16.3M</w:t>
            </w:r>
          </w:p>
        </w:tc>
        <w:tc>
          <w:tcPr>
            <w:tcW w:type="dxa" w:w="1521"/>
            <w:shd w:val="clear" w:color="auto" w:fill="F5F7F9"/>
          </w:tcPr>
          <w:p>
            <w:pPr>
              <w:spacing w:after="20"/>
              <w:jc w:val="right"/>
            </w:pPr>
            <w:r>
              <w:rPr>
                <w:rFonts w:ascii="Calibri" w:hAnsi="Calibri"/>
                <w:b w:val="0"/>
                <w:i w:val="0"/>
                <w:color w:val="2B2F38"/>
                <w:sz w:val="19"/>
              </w:rPr>
              <w:t>-0.4%</w:t>
            </w:r>
          </w:p>
        </w:tc>
        <w:tc>
          <w:tcPr>
            <w:tcW w:type="dxa" w:w="1901"/>
            <w:shd w:val="clear" w:color="auto" w:fill="F5F7F9"/>
          </w:tcPr>
          <w:p>
            <w:pPr>
              <w:spacing w:after="20"/>
              <w:jc w:val="right"/>
            </w:pPr>
            <w:r>
              <w:rPr>
                <w:rFonts w:ascii="Calibri" w:hAnsi="Calibri"/>
                <w:b/>
                <w:i w:val="0"/>
                <w:color w:val="2E7D5B"/>
                <w:sz w:val="19"/>
              </w:rPr>
              <w:t>On track</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plan_vs_actual, Q1 FY2026.</w:t>
      </w:r>
    </w:p>
    <w:p>
      <w:pPr>
        <w:keepNext/>
        <w:spacing w:after="60" w:before="180" w:line="274" w:lineRule="auto"/>
      </w:pPr>
      <w:r>
        <w:rPr>
          <w:rFonts w:ascii="Calibri" w:hAnsi="Calibri"/>
          <w:b/>
          <w:i w:val="0"/>
          <w:color w:val="1F2A44"/>
          <w:sz w:val="23"/>
        </w:rPr>
        <w:t>3.2 · What each brand is being asked to deliver in FY2027</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1521"/>
        <w:gridCol w:w="1236"/>
        <w:gridCol w:w="1140"/>
        <w:gridCol w:w="5607"/>
      </w:tblGrid>
      <w:tr>
        <w:tc>
          <w:tcPr>
            <w:tcW w:type="dxa" w:w="1521"/>
            <w:shd w:val="clear" w:color="auto" w:fill="1F2A44"/>
          </w:tcPr>
          <w:p>
            <w:pPr>
              <w:spacing w:after="20"/>
            </w:pPr>
            <w:r>
              <w:rPr>
                <w:rFonts w:ascii="Calibri" w:hAnsi="Calibri"/>
                <w:b/>
                <w:i w:val="0"/>
                <w:color w:val="FFFFFF"/>
                <w:sz w:val="17"/>
              </w:rPr>
              <w:t>Brand</w:t>
            </w:r>
          </w:p>
        </w:tc>
        <w:tc>
          <w:tcPr>
            <w:tcW w:type="dxa" w:w="1236"/>
            <w:shd w:val="clear" w:color="auto" w:fill="1F2A44"/>
          </w:tcPr>
          <w:p>
            <w:pPr>
              <w:spacing w:after="20"/>
              <w:jc w:val="right"/>
            </w:pPr>
            <w:r>
              <w:rPr>
                <w:rFonts w:ascii="Calibri" w:hAnsi="Calibri"/>
                <w:b/>
                <w:i w:val="0"/>
                <w:color w:val="FFFFFF"/>
                <w:sz w:val="17"/>
              </w:rPr>
              <w:t>FY27 plan</w:t>
            </w:r>
          </w:p>
        </w:tc>
        <w:tc>
          <w:tcPr>
            <w:tcW w:type="dxa" w:w="1140"/>
            <w:shd w:val="clear" w:color="auto" w:fill="1F2A44"/>
          </w:tcPr>
          <w:p>
            <w:pPr>
              <w:spacing w:after="20"/>
              <w:jc w:val="right"/>
            </w:pPr>
            <w:r>
              <w:rPr>
                <w:rFonts w:ascii="Calibri" w:hAnsi="Calibri"/>
                <w:b/>
                <w:i w:val="0"/>
                <w:color w:val="FFFFFF"/>
                <w:sz w:val="17"/>
              </w:rPr>
              <w:t>Growth</w:t>
            </w:r>
          </w:p>
        </w:tc>
        <w:tc>
          <w:tcPr>
            <w:tcW w:type="dxa" w:w="5607"/>
            <w:shd w:val="clear" w:color="auto" w:fill="1F2A44"/>
          </w:tcPr>
          <w:p>
            <w:pPr>
              <w:spacing w:after="20"/>
              <w:jc w:val="right"/>
            </w:pPr>
            <w:r>
              <w:rPr>
                <w:rFonts w:ascii="Calibri" w:hAnsi="Calibri"/>
                <w:b/>
                <w:i w:val="0"/>
                <w:color w:val="FFFFFF"/>
                <w:sz w:val="17"/>
              </w:rPr>
              <w:t>The logic</w:t>
            </w:r>
          </w:p>
        </w:tc>
      </w:tr>
      <w:tr>
        <w:tc>
          <w:tcPr>
            <w:tcW w:type="dxa" w:w="1521"/>
            <w:shd w:val="clear" w:color="auto" w:fill="FFFFFF"/>
          </w:tcPr>
          <w:p>
            <w:pPr>
              <w:spacing w:after="20"/>
            </w:pPr>
            <w:r>
              <w:rPr>
                <w:rFonts w:ascii="Calibri" w:hAnsi="Calibri"/>
                <w:b w:val="0"/>
                <w:i w:val="0"/>
                <w:color w:val="2B2F38"/>
                <w:sz w:val="18"/>
              </w:rPr>
              <w:t>Crunchwell</w:t>
            </w:r>
          </w:p>
        </w:tc>
        <w:tc>
          <w:tcPr>
            <w:tcW w:type="dxa" w:w="1236"/>
            <w:shd w:val="clear" w:color="auto" w:fill="FFFFFF"/>
          </w:tcPr>
          <w:p>
            <w:pPr>
              <w:spacing w:after="20"/>
              <w:jc w:val="right"/>
            </w:pPr>
            <w:r>
              <w:rPr>
                <w:rFonts w:ascii="Calibri" w:hAnsi="Calibri"/>
                <w:b w:val="0"/>
                <w:i w:val="0"/>
                <w:color w:val="2B2F38"/>
                <w:sz w:val="18"/>
              </w:rPr>
              <w:t>$318M</w:t>
            </w:r>
          </w:p>
        </w:tc>
        <w:tc>
          <w:tcPr>
            <w:tcW w:type="dxa" w:w="1140"/>
            <w:shd w:val="clear" w:color="auto" w:fill="FFFFFF"/>
          </w:tcPr>
          <w:p>
            <w:pPr>
              <w:spacing w:after="20"/>
              <w:jc w:val="right"/>
            </w:pPr>
            <w:r>
              <w:rPr>
                <w:rFonts w:ascii="Calibri" w:hAnsi="Calibri"/>
                <w:b w:val="0"/>
                <w:i w:val="0"/>
                <w:color w:val="2B2F38"/>
                <w:sz w:val="18"/>
              </w:rPr>
              <w:t>+2%</w:t>
            </w:r>
          </w:p>
        </w:tc>
        <w:tc>
          <w:tcPr>
            <w:tcW w:type="dxa" w:w="5607"/>
            <w:shd w:val="clear" w:color="auto" w:fill="FFFFFF"/>
          </w:tcPr>
          <w:p>
            <w:pPr>
              <w:spacing w:after="20"/>
              <w:jc w:val="right"/>
            </w:pPr>
            <w:r>
              <w:rPr>
                <w:rFonts w:ascii="Calibri" w:hAnsi="Calibri"/>
                <w:b w:val="0"/>
                <w:i w:val="0"/>
                <w:color w:val="2B2F38"/>
                <w:sz w:val="18"/>
              </w:rPr>
              <w:t>Pack Refresh plus Louisiana recovery. Stabilisation, not growth (Report 66).</w:t>
            </w:r>
          </w:p>
        </w:tc>
      </w:tr>
      <w:tr>
        <w:tc>
          <w:tcPr>
            <w:tcW w:type="dxa" w:w="1521"/>
            <w:shd w:val="clear" w:color="auto" w:fill="F5F7F9"/>
          </w:tcPr>
          <w:p>
            <w:pPr>
              <w:spacing w:after="20"/>
            </w:pPr>
            <w:r>
              <w:rPr>
                <w:rFonts w:ascii="Calibri" w:hAnsi="Calibri"/>
                <w:b w:val="0"/>
                <w:i w:val="0"/>
                <w:color w:val="2B2F38"/>
                <w:sz w:val="18"/>
              </w:rPr>
              <w:t>TrailGrove</w:t>
            </w:r>
          </w:p>
        </w:tc>
        <w:tc>
          <w:tcPr>
            <w:tcW w:type="dxa" w:w="1236"/>
            <w:shd w:val="clear" w:color="auto" w:fill="F5F7F9"/>
          </w:tcPr>
          <w:p>
            <w:pPr>
              <w:spacing w:after="20"/>
              <w:jc w:val="right"/>
            </w:pPr>
            <w:r>
              <w:rPr>
                <w:rFonts w:ascii="Calibri" w:hAnsi="Calibri"/>
                <w:b w:val="0"/>
                <w:i w:val="0"/>
                <w:color w:val="2B2F38"/>
                <w:sz w:val="18"/>
              </w:rPr>
              <w:t>$162M</w:t>
            </w:r>
          </w:p>
        </w:tc>
        <w:tc>
          <w:tcPr>
            <w:tcW w:type="dxa" w:w="1140"/>
            <w:shd w:val="clear" w:color="auto" w:fill="F5F7F9"/>
          </w:tcPr>
          <w:p>
            <w:pPr>
              <w:spacing w:after="20"/>
              <w:jc w:val="right"/>
            </w:pPr>
            <w:r>
              <w:rPr>
                <w:rFonts w:ascii="Calibri" w:hAnsi="Calibri"/>
                <w:b w:val="0"/>
                <w:i w:val="0"/>
                <w:color w:val="2B2F38"/>
                <w:sz w:val="18"/>
              </w:rPr>
              <w:t>+7%</w:t>
            </w:r>
          </w:p>
        </w:tc>
        <w:tc>
          <w:tcPr>
            <w:tcW w:type="dxa" w:w="5607"/>
            <w:shd w:val="clear" w:color="auto" w:fill="F5F7F9"/>
          </w:tcPr>
          <w:p>
            <w:pPr>
              <w:spacing w:after="20"/>
              <w:jc w:val="right"/>
            </w:pPr>
            <w:r>
              <w:rPr>
                <w:rFonts w:ascii="Calibri" w:hAnsi="Calibri"/>
                <w:b w:val="0"/>
                <w:i w:val="0"/>
                <w:color w:val="2B2F38"/>
                <w:sz w:val="18"/>
              </w:rPr>
              <w:t>Distribution build in a granola segment growing +3.3%. Cheapest volume we have.</w:t>
            </w:r>
          </w:p>
        </w:tc>
      </w:tr>
      <w:tr>
        <w:tc>
          <w:tcPr>
            <w:tcW w:type="dxa" w:w="1521"/>
            <w:shd w:val="clear" w:color="auto" w:fill="FFFFFF"/>
          </w:tcPr>
          <w:p>
            <w:pPr>
              <w:spacing w:after="20"/>
            </w:pPr>
            <w:r>
              <w:rPr>
                <w:rFonts w:ascii="Calibri" w:hAnsi="Calibri"/>
                <w:b w:val="0"/>
                <w:i w:val="0"/>
                <w:color w:val="2B2F38"/>
                <w:sz w:val="18"/>
              </w:rPr>
              <w:t>MorningOats</w:t>
            </w:r>
          </w:p>
        </w:tc>
        <w:tc>
          <w:tcPr>
            <w:tcW w:type="dxa" w:w="1236"/>
            <w:shd w:val="clear" w:color="auto" w:fill="FFFFFF"/>
          </w:tcPr>
          <w:p>
            <w:pPr>
              <w:spacing w:after="20"/>
              <w:jc w:val="right"/>
            </w:pPr>
            <w:r>
              <w:rPr>
                <w:rFonts w:ascii="Calibri" w:hAnsi="Calibri"/>
                <w:b w:val="0"/>
                <w:i w:val="0"/>
                <w:color w:val="2B2F38"/>
                <w:sz w:val="18"/>
              </w:rPr>
              <w:t>$92M</w:t>
            </w:r>
          </w:p>
        </w:tc>
        <w:tc>
          <w:tcPr>
            <w:tcW w:type="dxa" w:w="1140"/>
            <w:shd w:val="clear" w:color="auto" w:fill="FFFFFF"/>
          </w:tcPr>
          <w:p>
            <w:pPr>
              <w:spacing w:after="20"/>
              <w:jc w:val="right"/>
            </w:pPr>
            <w:r>
              <w:rPr>
                <w:rFonts w:ascii="Calibri" w:hAnsi="Calibri"/>
                <w:b w:val="0"/>
                <w:i w:val="0"/>
                <w:color w:val="2B2F38"/>
                <w:sz w:val="18"/>
              </w:rPr>
              <w:t>+6%</w:t>
            </w:r>
          </w:p>
        </w:tc>
        <w:tc>
          <w:tcPr>
            <w:tcW w:type="dxa" w:w="5607"/>
            <w:shd w:val="clear" w:color="auto" w:fill="FFFFFF"/>
          </w:tcPr>
          <w:p>
            <w:pPr>
              <w:spacing w:after="20"/>
              <w:jc w:val="right"/>
            </w:pPr>
            <w:r>
              <w:rPr>
                <w:rFonts w:ascii="Calibri" w:hAnsi="Calibri"/>
                <w:b w:val="0"/>
                <w:i w:val="0"/>
                <w:color w:val="2B2F38"/>
                <w:sz w:val="18"/>
              </w:rPr>
              <w:t>Single-serve cups segment is +9.8%; the rest of the line is flat.</w:t>
            </w:r>
          </w:p>
        </w:tc>
      </w:tr>
      <w:tr>
        <w:tc>
          <w:tcPr>
            <w:tcW w:type="dxa" w:w="1521"/>
            <w:shd w:val="clear" w:color="auto" w:fill="F5F7F9"/>
          </w:tcPr>
          <w:p>
            <w:pPr>
              <w:spacing w:after="20"/>
            </w:pPr>
            <w:r>
              <w:rPr>
                <w:rFonts w:ascii="Calibri" w:hAnsi="Calibri"/>
                <w:b w:val="0"/>
                <w:i w:val="0"/>
                <w:color w:val="2B2F38"/>
                <w:sz w:val="18"/>
              </w:rPr>
              <w:t>HoneyNest</w:t>
            </w:r>
          </w:p>
        </w:tc>
        <w:tc>
          <w:tcPr>
            <w:tcW w:type="dxa" w:w="1236"/>
            <w:shd w:val="clear" w:color="auto" w:fill="F5F7F9"/>
          </w:tcPr>
          <w:p>
            <w:pPr>
              <w:spacing w:after="20"/>
              <w:jc w:val="right"/>
            </w:pPr>
            <w:r>
              <w:rPr>
                <w:rFonts w:ascii="Calibri" w:hAnsi="Calibri"/>
                <w:b w:val="0"/>
                <w:i w:val="0"/>
                <w:color w:val="2B2F38"/>
                <w:sz w:val="18"/>
              </w:rPr>
              <w:t>$92M</w:t>
            </w:r>
          </w:p>
        </w:tc>
        <w:tc>
          <w:tcPr>
            <w:tcW w:type="dxa" w:w="1140"/>
            <w:shd w:val="clear" w:color="auto" w:fill="F5F7F9"/>
          </w:tcPr>
          <w:p>
            <w:pPr>
              <w:spacing w:after="20"/>
              <w:jc w:val="right"/>
            </w:pPr>
            <w:r>
              <w:rPr>
                <w:rFonts w:ascii="Calibri" w:hAnsi="Calibri"/>
                <w:b w:val="0"/>
                <w:i w:val="0"/>
                <w:color w:val="2B2F38"/>
                <w:sz w:val="18"/>
              </w:rPr>
              <w:t>-2%</w:t>
            </w:r>
          </w:p>
        </w:tc>
        <w:tc>
          <w:tcPr>
            <w:tcW w:type="dxa" w:w="5607"/>
            <w:shd w:val="clear" w:color="auto" w:fill="F5F7F9"/>
          </w:tcPr>
          <w:p>
            <w:pPr>
              <w:spacing w:after="20"/>
              <w:jc w:val="right"/>
            </w:pPr>
            <w:r>
              <w:rPr>
                <w:rFonts w:ascii="Calibri" w:hAnsi="Calibri"/>
                <w:b w:val="0"/>
                <w:i w:val="0"/>
                <w:color w:val="2B2F38"/>
                <w:sz w:val="18"/>
              </w:rPr>
              <w:t>Harvest. Kids Sweet is −2.8% and structurally pressured.</w:t>
            </w:r>
          </w:p>
        </w:tc>
      </w:tr>
      <w:tr>
        <w:tc>
          <w:tcPr>
            <w:tcW w:type="dxa" w:w="1521"/>
            <w:shd w:val="clear" w:color="auto" w:fill="FFFFFF"/>
          </w:tcPr>
          <w:p>
            <w:pPr>
              <w:spacing w:after="20"/>
            </w:pPr>
            <w:r>
              <w:rPr>
                <w:rFonts w:ascii="Calibri" w:hAnsi="Calibri"/>
                <w:b w:val="0"/>
                <w:i w:val="0"/>
                <w:color w:val="2B2F38"/>
                <w:sz w:val="18"/>
              </w:rPr>
              <w:t>ProteinPeak</w:t>
            </w:r>
          </w:p>
        </w:tc>
        <w:tc>
          <w:tcPr>
            <w:tcW w:type="dxa" w:w="1236"/>
            <w:shd w:val="clear" w:color="auto" w:fill="FFFFFF"/>
          </w:tcPr>
          <w:p>
            <w:pPr>
              <w:spacing w:after="20"/>
              <w:jc w:val="right"/>
            </w:pPr>
            <w:r>
              <w:rPr>
                <w:rFonts w:ascii="Calibri" w:hAnsi="Calibri"/>
                <w:b w:val="0"/>
                <w:i w:val="0"/>
                <w:color w:val="2B2F38"/>
                <w:sz w:val="18"/>
              </w:rPr>
              <w:t>$100M</w:t>
            </w:r>
          </w:p>
        </w:tc>
        <w:tc>
          <w:tcPr>
            <w:tcW w:type="dxa" w:w="1140"/>
            <w:shd w:val="clear" w:color="auto" w:fill="FFFFFF"/>
          </w:tcPr>
          <w:p>
            <w:pPr>
              <w:spacing w:after="20"/>
              <w:jc w:val="right"/>
            </w:pPr>
            <w:r>
              <w:rPr>
                <w:rFonts w:ascii="Calibri" w:hAnsi="Calibri"/>
                <w:b w:val="0"/>
                <w:i w:val="0"/>
                <w:color w:val="2B2F38"/>
                <w:sz w:val="18"/>
              </w:rPr>
              <w:t>+108%</w:t>
            </w:r>
          </w:p>
        </w:tc>
        <w:tc>
          <w:tcPr>
            <w:tcW w:type="dxa" w:w="5607"/>
            <w:shd w:val="clear" w:color="auto" w:fill="FFFFFF"/>
          </w:tcPr>
          <w:p>
            <w:pPr>
              <w:spacing w:after="20"/>
              <w:jc w:val="right"/>
            </w:pPr>
            <w:r>
              <w:rPr>
                <w:rFonts w:ascii="Calibri" w:hAnsi="Calibri"/>
                <w:b w:val="0"/>
                <w:i w:val="0"/>
                <w:color w:val="2B2F38"/>
                <w:sz w:val="18"/>
              </w:rPr>
              <w:t>Full-year launch SKUs plus Chocolate Almond plus distribution gains.</w:t>
            </w:r>
          </w:p>
        </w:tc>
      </w:tr>
      <w:tr>
        <w:tc>
          <w:tcPr>
            <w:tcW w:type="dxa" w:w="1521"/>
            <w:shd w:val="clear" w:color="auto" w:fill="F5F7F9"/>
          </w:tcPr>
          <w:p>
            <w:pPr>
              <w:spacing w:after="20"/>
            </w:pPr>
            <w:r>
              <w:rPr>
                <w:rFonts w:ascii="Calibri" w:hAnsi="Calibri"/>
                <w:b w:val="0"/>
                <w:i w:val="0"/>
                <w:color w:val="2B2F38"/>
                <w:sz w:val="18"/>
              </w:rPr>
              <w:t>RootDay</w:t>
            </w:r>
          </w:p>
        </w:tc>
        <w:tc>
          <w:tcPr>
            <w:tcW w:type="dxa" w:w="1236"/>
            <w:shd w:val="clear" w:color="auto" w:fill="F5F7F9"/>
          </w:tcPr>
          <w:p>
            <w:pPr>
              <w:spacing w:after="20"/>
              <w:jc w:val="right"/>
            </w:pPr>
            <w:r>
              <w:rPr>
                <w:rFonts w:ascii="Calibri" w:hAnsi="Calibri"/>
                <w:b w:val="0"/>
                <w:i w:val="0"/>
                <w:color w:val="2B2F38"/>
                <w:sz w:val="18"/>
              </w:rPr>
              <w:t>$74M</w:t>
            </w:r>
          </w:p>
        </w:tc>
        <w:tc>
          <w:tcPr>
            <w:tcW w:type="dxa" w:w="1140"/>
            <w:shd w:val="clear" w:color="auto" w:fill="F5F7F9"/>
          </w:tcPr>
          <w:p>
            <w:pPr>
              <w:spacing w:after="20"/>
              <w:jc w:val="right"/>
            </w:pPr>
            <w:r>
              <w:rPr>
                <w:rFonts w:ascii="Calibri" w:hAnsi="Calibri"/>
                <w:b w:val="0"/>
                <w:i w:val="0"/>
                <w:color w:val="2B2F38"/>
                <w:sz w:val="18"/>
              </w:rPr>
              <w:t>+19%</w:t>
            </w:r>
          </w:p>
        </w:tc>
        <w:tc>
          <w:tcPr>
            <w:tcW w:type="dxa" w:w="5607"/>
            <w:shd w:val="clear" w:color="auto" w:fill="F5F7F9"/>
          </w:tcPr>
          <w:p>
            <w:pPr>
              <w:spacing w:after="20"/>
              <w:jc w:val="right"/>
            </w:pPr>
            <w:r>
              <w:rPr>
                <w:rFonts w:ascii="Calibri" w:hAnsi="Calibri"/>
                <w:b w:val="0"/>
                <w:i w:val="0"/>
                <w:color w:val="2B2F38"/>
                <w:sz w:val="18"/>
              </w:rPr>
              <w:t>Oat milk is +18.8%; we hold 3.8% share with room to run.</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Planning estimate. Segment growth from seed_category_market_size.</w:t>
      </w:r>
    </w:p>
    <w:p>
      <w:pPr>
        <w:keepNext/>
        <w:spacing w:after="40" w:before="240" w:line="274" w:lineRule="auto"/>
      </w:pPr>
      <w:r>
        <w:rPr>
          <w:rFonts w:ascii="Calibri" w:hAnsi="Calibri"/>
          <w:b/>
          <w:i w:val="0"/>
          <w:color w:val="2E7D75"/>
          <w:sz w:val="18"/>
        </w:rPr>
        <w:t>MARGIN</w:t>
      </w:r>
    </w:p>
    <w:p>
      <w:pPr>
        <w:keepNext/>
        <w:spacing w:after="100" w:before="0" w:line="274" w:lineRule="auto"/>
      </w:pPr>
      <w:r>
        <w:rPr>
          <w:rFonts w:ascii="Calibri" w:hAnsi="Calibri"/>
          <w:b/>
          <w:i w:val="0"/>
          <w:color w:val="1F2A44"/>
          <w:sz w:val="31"/>
        </w:rPr>
        <w:t>4 · The path to ~15.0%, and why it comes out of trade</w:t>
      </w:r>
    </w:p>
    <w:p>
      <w:pPr>
        <w:keepNext w:val="0"/>
        <w:spacing w:after="120" w:before="0" w:line="274" w:lineRule="auto"/>
      </w:pPr>
      <w:r>
        <w:rPr>
          <w:rFonts w:ascii="Calibri" w:hAnsi="Calibri"/>
          <w:b w:val="0"/>
          <w:i w:val="0"/>
          <w:color w:val="2B2F38"/>
          <w:sz w:val="21"/>
        </w:rPr>
        <w:t>Acme spends about $147M a year on trade promotion at a portfolio incrementality index of 0.51. That index means roughly half the promoted volume would have sold anyway. Moving the portfolio index from 0.52 to 0.60 is worth approximately 60 basis points of EBITDA, and it is the largest single margin lever available that does not touch A&amp;P or headcount.</w:t>
      </w:r>
    </w:p>
    <w:p>
      <w:pPr>
        <w:spacing w:before="80" w:after="40"/>
      </w:pPr>
      <w:r>
        <w:drawing>
          <wp:inline xmlns:a="http://schemas.openxmlformats.org/drawingml/2006/main" xmlns:pic="http://schemas.openxmlformats.org/drawingml/2006/picture">
            <wp:extent cx="6035040" cy="2440370"/>
            <wp:docPr id="2" name="Picture 2"/>
            <wp:cNvGraphicFramePr>
              <a:graphicFrameLocks noChangeAspect="1"/>
            </wp:cNvGraphicFramePr>
            <a:graphic>
              <a:graphicData uri="http://schemas.openxmlformats.org/drawingml/2006/picture">
                <pic:pic>
                  <pic:nvPicPr>
                    <pic:cNvPr id="0" name="r61_trade.png"/>
                    <pic:cNvPicPr/>
                  </pic:nvPicPr>
                  <pic:blipFill>
                    <a:blip r:embed="rId11"/>
                    <a:stretch>
                      <a:fillRect/>
                    </a:stretch>
                  </pic:blipFill>
                  <pic:spPr>
                    <a:xfrm>
                      <a:off x="0" y="0"/>
                      <a:ext cx="6035040" cy="2440370"/>
                    </a:xfrm>
                    <a:prstGeom prst="rect"/>
                  </pic:spPr>
                </pic:pic>
              </a:graphicData>
            </a:graphic>
          </wp:inline>
        </w:drawing>
      </w:r>
    </w:p>
    <w:p>
      <w:pPr>
        <w:keepNext w:val="0"/>
        <w:spacing w:after="160" w:before="0" w:line="274" w:lineRule="auto"/>
      </w:pPr>
      <w:r>
        <w:rPr>
          <w:rFonts w:ascii="Calibri" w:hAnsi="Calibri"/>
          <w:b w:val="0"/>
          <w:i/>
          <w:color w:val="5B6472"/>
          <w:sz w:val="17"/>
        </w:rPr>
        <w:t>Trade spend and depth by brand. Crunchwell is both the largest line and the deepest discounter.</w:t>
      </w:r>
    </w:p>
    <w:p>
      <w:pPr>
        <w:pStyle w:val="ListBullet"/>
        <w:spacing w:after="80" w:line="274" w:lineRule="auto"/>
        <w:ind w:left="403" w:hanging="230"/>
      </w:pPr>
      <w:r>
        <w:rPr>
          <w:rFonts w:ascii="Calibri" w:hAnsi="Calibri"/>
          <w:b/>
          <w:i w:val="0"/>
          <w:color w:val="2B2F38"/>
          <w:sz w:val="21"/>
        </w:rPr>
        <w:t>Trade efficiency: +60 bps.</w:t>
      </w:r>
      <w:r>
        <w:rPr>
          <w:rFonts w:ascii="Calibri" w:hAnsi="Calibri"/>
          <w:b w:val="0"/>
          <w:i w:val="0"/>
          <w:color w:val="2B2F38"/>
          <w:sz w:val="21"/>
        </w:rPr>
        <w:t xml:space="preserve"> Index 0.52 to 0.60 through fewer, better-timed events and a 0.45 incrementality floor on new events (Report 64).</w:t>
      </w:r>
    </w:p>
    <w:p>
      <w:pPr>
        <w:pStyle w:val="ListBullet"/>
        <w:spacing w:after="80" w:line="274" w:lineRule="auto"/>
        <w:ind w:left="403" w:hanging="230"/>
      </w:pPr>
      <w:r>
        <w:rPr>
          <w:rFonts w:ascii="Calibri" w:hAnsi="Calibri"/>
          <w:b/>
          <w:i w:val="0"/>
          <w:color w:val="2B2F38"/>
          <w:sz w:val="21"/>
        </w:rPr>
        <w:t>Mix: +20 bps.</w:t>
      </w:r>
      <w:r>
        <w:rPr>
          <w:rFonts w:ascii="Calibri" w:hAnsi="Calibri"/>
          <w:b w:val="0"/>
          <w:i w:val="0"/>
          <w:color w:val="2B2F38"/>
          <w:sz w:val="21"/>
        </w:rPr>
        <w:t xml:space="preserve"> ProteinPeak and RootDay carry higher gross margin than the cereal core.</w:t>
      </w:r>
    </w:p>
    <w:p>
      <w:pPr>
        <w:pStyle w:val="ListBullet"/>
        <w:spacing w:after="80" w:line="274" w:lineRule="auto"/>
        <w:ind w:left="403" w:hanging="230"/>
      </w:pPr>
      <w:r>
        <w:rPr>
          <w:rFonts w:ascii="Calibri" w:hAnsi="Calibri"/>
          <w:b/>
          <w:i w:val="0"/>
          <w:color w:val="2B2F38"/>
          <w:sz w:val="21"/>
        </w:rPr>
        <w:t>Media efficiency: +10 bps.</w:t>
      </w:r>
      <w:r>
        <w:rPr>
          <w:rFonts w:ascii="Calibri" w:hAnsi="Calibri"/>
          <w:b w:val="0"/>
          <w:i w:val="0"/>
          <w:color w:val="2B2F38"/>
          <w:sz w:val="21"/>
        </w:rPr>
        <w:t xml:space="preserve"> Reallocating retail media from a 0.40-ratio platform to a 1.20-ratio platform (Report 74).</w:t>
      </w:r>
    </w:p>
    <w:p>
      <w:pPr>
        <w:pStyle w:val="ListBullet"/>
        <w:spacing w:after="80" w:line="274" w:lineRule="auto"/>
        <w:ind w:left="403" w:hanging="230"/>
      </w:pPr>
      <w:r>
        <w:rPr>
          <w:rFonts w:ascii="Calibri" w:hAnsi="Calibri"/>
          <w:b/>
          <w:i w:val="0"/>
          <w:color w:val="2B2F38"/>
          <w:sz w:val="21"/>
        </w:rPr>
        <w:t>Cost inflation: −0.0 bps assumed net.</w:t>
      </w:r>
      <w:r>
        <w:rPr>
          <w:rFonts w:ascii="Calibri" w:hAnsi="Calibri"/>
          <w:b w:val="0"/>
          <w:i w:val="0"/>
          <w:color w:val="2B2F38"/>
          <w:sz w:val="21"/>
        </w:rPr>
        <w:t xml:space="preserve"> Input costs are assumed flat in real terms; this is the most exposed assumption in the plan.</w:t>
      </w:r>
    </w:p>
    <w:p>
      <w:pPr>
        <w:keepNext w:val="0"/>
        <w:spacing w:after="40" w:before="0" w:line="274" w:lineRule="auto"/>
      </w:pPr>
    </w:p>
    <w:tbl>
      <w:tblPr>
        <w:tblW w:w="9504" w:type="dxa"/>
        <w:tblBorders>
          <w:top w:val="none"/>
          <w:left w:val="single" w:sz="24" w:color="B24A2E"/>
          <w:bottom w:val="none"/>
          <w:right w:val="none"/>
          <w:insideH w:val="none"/>
          <w:insideV w:val="none"/>
        </w:tblBorders>
        <w:tblLayout w:type="fixed"/>
        <w:tblCellMar>
          <w:top w:w="40" w:type="dxa"/>
          <w:left w:w="110" w:type="dxa"/>
          <w:bottom w:w="40" w:type="dxa"/>
          <w:right w:w="110" w:type="dxa"/>
        </w:tblCellMar>
        <w:tblLook w:firstColumn="1" w:firstRow="1" w:lastColumn="0" w:lastRow="0" w:noHBand="0" w:noVBand="1" w:val="04A0"/>
      </w:tblPr>
      <w:tblGrid>
        <w:gridCol w:w="9504"/>
      </w:tblGrid>
      <w:tr>
        <w:tc>
          <w:tcPr>
            <w:tcW w:type="dxa" w:w="9504"/>
            <w:shd w:val="clear" w:color="auto" w:fill="F5F7F9"/>
          </w:tcPr>
          <w:p>
            <w:pPr>
              <w:spacing w:after="40"/>
            </w:pPr>
            <w:r>
              <w:rPr>
                <w:rFonts w:ascii="Calibri" w:hAnsi="Calibri"/>
                <w:b/>
                <w:i w:val="0"/>
                <w:color w:val="1F2A44"/>
                <w:sz w:val="21"/>
              </w:rPr>
              <w:t>What we are not doing to make the margin</w:t>
            </w:r>
          </w:p>
          <w:p>
            <w:pPr>
              <w:spacing w:after="40" w:line="274" w:lineRule="auto"/>
            </w:pPr>
            <w:r>
              <w:rPr>
                <w:rFonts w:ascii="Calibri" w:hAnsi="Calibri"/>
                <w:b w:val="0"/>
                <w:i w:val="0"/>
                <w:color w:val="2B2F38"/>
                <w:sz w:val="20"/>
              </w:rPr>
              <w:t>The plan does not cut A&amp;P in absolute dollars, does not reduce R&amp;D, and does not assume a list-price increase. If the trade-efficiency programme fails, the margin target fails with it — we are not holding a hidden A&amp;P cut in reserve.</w:t>
            </w:r>
          </w:p>
        </w:tc>
      </w:tr>
    </w:tbl>
    <w:p>
      <w:pPr>
        <w:keepNext w:val="0"/>
        <w:spacing w:after="80" w:before="0" w:line="274" w:lineRule="auto"/>
      </w:pPr>
    </w:p>
    <w:p>
      <w:pPr>
        <w:keepNext/>
        <w:spacing w:after="40" w:before="240" w:line="274" w:lineRule="auto"/>
      </w:pPr>
      <w:r>
        <w:rPr>
          <w:rFonts w:ascii="Calibri" w:hAnsi="Calibri"/>
          <w:b/>
          <w:i w:val="0"/>
          <w:color w:val="2E7D75"/>
          <w:sz w:val="18"/>
        </w:rPr>
        <w:t>ASSUMPTIONS</w:t>
      </w:r>
    </w:p>
    <w:p>
      <w:pPr>
        <w:keepNext/>
        <w:spacing w:after="100" w:before="0" w:line="274" w:lineRule="auto"/>
      </w:pPr>
      <w:r>
        <w:rPr>
          <w:rFonts w:ascii="Calibri" w:hAnsi="Calibri"/>
          <w:b/>
          <w:i w:val="0"/>
          <w:color w:val="1F2A44"/>
          <w:sz w:val="31"/>
        </w:rPr>
        <w:t>5 · What has to be true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4372"/>
        <w:gridCol w:w="1901"/>
        <w:gridCol w:w="3231"/>
      </w:tblGrid>
      <w:tr>
        <w:tc>
          <w:tcPr>
            <w:tcW w:type="dxa" w:w="4372"/>
            <w:shd w:val="clear" w:color="auto" w:fill="1F2A44"/>
          </w:tcPr>
          <w:p>
            <w:pPr>
              <w:spacing w:after="20"/>
            </w:pPr>
            <w:r>
              <w:rPr>
                <w:rFonts w:ascii="Calibri" w:hAnsi="Calibri"/>
                <w:b/>
                <w:i w:val="0"/>
                <w:color w:val="FFFFFF"/>
                <w:sz w:val="17"/>
              </w:rPr>
              <w:t>Assumption</w:t>
            </w:r>
          </w:p>
        </w:tc>
        <w:tc>
          <w:tcPr>
            <w:tcW w:type="dxa" w:w="1901"/>
            <w:shd w:val="clear" w:color="auto" w:fill="1F2A44"/>
          </w:tcPr>
          <w:p>
            <w:pPr>
              <w:spacing w:after="20"/>
            </w:pPr>
            <w:r>
              <w:rPr>
                <w:rFonts w:ascii="Calibri" w:hAnsi="Calibri"/>
                <w:b/>
                <w:i w:val="0"/>
                <w:color w:val="FFFFFF"/>
                <w:sz w:val="17"/>
              </w:rPr>
              <w:t>Owner</w:t>
            </w:r>
          </w:p>
        </w:tc>
        <w:tc>
          <w:tcPr>
            <w:tcW w:type="dxa" w:w="3231"/>
            <w:shd w:val="clear" w:color="auto" w:fill="1F2A44"/>
          </w:tcPr>
          <w:p>
            <w:pPr>
              <w:spacing w:after="20"/>
            </w:pPr>
            <w:r>
              <w:rPr>
                <w:rFonts w:ascii="Calibri" w:hAnsi="Calibri"/>
                <w:b/>
                <w:i w:val="0"/>
                <w:color w:val="FFFFFF"/>
                <w:sz w:val="17"/>
              </w:rPr>
              <w:t>If it is wrong</w:t>
            </w:r>
          </w:p>
        </w:tc>
      </w:tr>
      <w:tr>
        <w:tc>
          <w:tcPr>
            <w:tcW w:type="dxa" w:w="4372"/>
            <w:shd w:val="clear" w:color="auto" w:fill="FFFFFF"/>
          </w:tcPr>
          <w:p>
            <w:pPr>
              <w:spacing w:after="20"/>
            </w:pPr>
            <w:r>
              <w:rPr>
                <w:rFonts w:ascii="Calibri" w:hAnsi="Calibri"/>
                <w:b w:val="0"/>
                <w:i w:val="0"/>
                <w:color w:val="2B2F38"/>
                <w:sz w:val="18"/>
              </w:rPr>
              <w:t>Fill rate holds at ~95% and OTIF at ~90%; no repeat of the Nov 2025 storm impact</w:t>
            </w:r>
          </w:p>
        </w:tc>
        <w:tc>
          <w:tcPr>
            <w:tcW w:type="dxa" w:w="1901"/>
            <w:shd w:val="clear" w:color="auto" w:fill="FFFFFF"/>
          </w:tcPr>
          <w:p>
            <w:pPr>
              <w:spacing w:after="20"/>
            </w:pPr>
            <w:r>
              <w:rPr>
                <w:rFonts w:ascii="Calibri" w:hAnsi="Calibri"/>
                <w:b w:val="0"/>
                <w:i w:val="0"/>
                <w:color w:val="2B2F38"/>
                <w:sz w:val="18"/>
              </w:rPr>
              <w:t>VP Supply Chain</w:t>
            </w:r>
          </w:p>
        </w:tc>
        <w:tc>
          <w:tcPr>
            <w:tcW w:type="dxa" w:w="3231"/>
            <w:shd w:val="clear" w:color="auto" w:fill="FFFFFF"/>
          </w:tcPr>
          <w:p>
            <w:pPr>
              <w:spacing w:after="20"/>
            </w:pPr>
            <w:r>
              <w:rPr>
                <w:rFonts w:ascii="Calibri" w:hAnsi="Calibri"/>
                <w:b w:val="0"/>
                <w:i w:val="0"/>
                <w:color w:val="2B2F38"/>
                <w:sz w:val="18"/>
              </w:rPr>
              <w:t>Service-driven share loss; see Report 73</w:t>
            </w:r>
          </w:p>
        </w:tc>
      </w:tr>
      <w:tr>
        <w:tc>
          <w:tcPr>
            <w:tcW w:type="dxa" w:w="4372"/>
            <w:shd w:val="clear" w:color="auto" w:fill="F5F7F9"/>
          </w:tcPr>
          <w:p>
            <w:pPr>
              <w:spacing w:after="20"/>
            </w:pPr>
            <w:r>
              <w:rPr>
                <w:rFonts w:ascii="Calibri" w:hAnsi="Calibri"/>
                <w:b w:val="0"/>
                <w:i w:val="0"/>
                <w:color w:val="2B2F38"/>
                <w:sz w:val="18"/>
              </w:rPr>
              <w:t>Pack Refresh ships Aug 15 2026 and reaches 90% ACV by Q4</w:t>
            </w:r>
          </w:p>
        </w:tc>
        <w:tc>
          <w:tcPr>
            <w:tcW w:type="dxa" w:w="1901"/>
            <w:shd w:val="clear" w:color="auto" w:fill="F5F7F9"/>
          </w:tcPr>
          <w:p>
            <w:pPr>
              <w:spacing w:after="20"/>
            </w:pPr>
            <w:r>
              <w:rPr>
                <w:rFonts w:ascii="Calibri" w:hAnsi="Calibri"/>
                <w:b w:val="0"/>
                <w:i w:val="0"/>
                <w:color w:val="2B2F38"/>
                <w:sz w:val="18"/>
              </w:rPr>
              <w:t>Cory Whitman</w:t>
            </w:r>
          </w:p>
        </w:tc>
        <w:tc>
          <w:tcPr>
            <w:tcW w:type="dxa" w:w="3231"/>
            <w:shd w:val="clear" w:color="auto" w:fill="F5F7F9"/>
          </w:tcPr>
          <w:p>
            <w:pPr>
              <w:spacing w:after="20"/>
            </w:pPr>
            <w:r>
              <w:rPr>
                <w:rFonts w:ascii="Calibri" w:hAnsi="Calibri"/>
                <w:b w:val="0"/>
                <w:i w:val="0"/>
                <w:color w:val="2B2F38"/>
                <w:sz w:val="18"/>
              </w:rPr>
              <w:t>−$7M FY27 revenue; Louisiana recovery loses its anchor</w:t>
            </w:r>
          </w:p>
        </w:tc>
      </w:tr>
      <w:tr>
        <w:tc>
          <w:tcPr>
            <w:tcW w:type="dxa" w:w="4372"/>
            <w:shd w:val="clear" w:color="auto" w:fill="FFFFFF"/>
          </w:tcPr>
          <w:p>
            <w:pPr>
              <w:spacing w:after="20"/>
            </w:pPr>
            <w:r>
              <w:rPr>
                <w:rFonts w:ascii="Calibri" w:hAnsi="Calibri"/>
                <w:b w:val="0"/>
                <w:i w:val="0"/>
                <w:color w:val="2B2F38"/>
                <w:sz w:val="18"/>
              </w:rPr>
              <w:t>Wellness Protein segment growth stays in the mid-teens</w:t>
            </w:r>
          </w:p>
        </w:tc>
        <w:tc>
          <w:tcPr>
            <w:tcW w:type="dxa" w:w="1901"/>
            <w:shd w:val="clear" w:color="auto" w:fill="FFFFFF"/>
          </w:tcPr>
          <w:p>
            <w:pPr>
              <w:spacing w:after="20"/>
            </w:pPr>
            <w:r>
              <w:rPr>
                <w:rFonts w:ascii="Calibri" w:hAnsi="Calibri"/>
                <w:b w:val="0"/>
                <w:i w:val="0"/>
                <w:color w:val="2B2F38"/>
                <w:sz w:val="18"/>
              </w:rPr>
              <w:t>Sage Park</w:t>
            </w:r>
          </w:p>
        </w:tc>
        <w:tc>
          <w:tcPr>
            <w:tcW w:type="dxa" w:w="3231"/>
            <w:shd w:val="clear" w:color="auto" w:fill="FFFFFF"/>
          </w:tcPr>
          <w:p>
            <w:pPr>
              <w:spacing w:after="20"/>
            </w:pPr>
            <w:r>
              <w:rPr>
                <w:rFonts w:ascii="Calibri" w:hAnsi="Calibri"/>
                <w:b w:val="0"/>
                <w:i w:val="0"/>
                <w:color w:val="2B2F38"/>
                <w:sz w:val="18"/>
              </w:rPr>
              <w:t>−$6M on ProteinPeak if growth halves</w:t>
            </w:r>
          </w:p>
        </w:tc>
      </w:tr>
      <w:tr>
        <w:tc>
          <w:tcPr>
            <w:tcW w:type="dxa" w:w="4372"/>
            <w:shd w:val="clear" w:color="auto" w:fill="F5F7F9"/>
          </w:tcPr>
          <w:p>
            <w:pPr>
              <w:spacing w:after="20"/>
            </w:pPr>
            <w:r>
              <w:rPr>
                <w:rFonts w:ascii="Calibri" w:hAnsi="Calibri"/>
                <w:b w:val="0"/>
                <w:i w:val="0"/>
                <w:color w:val="2B2F38"/>
                <w:sz w:val="18"/>
              </w:rPr>
              <w:t>Trade calendar rebuilt to a 0.60 index without base-volume loss</w:t>
            </w:r>
          </w:p>
        </w:tc>
        <w:tc>
          <w:tcPr>
            <w:tcW w:type="dxa" w:w="1901"/>
            <w:shd w:val="clear" w:color="auto" w:fill="F5F7F9"/>
          </w:tcPr>
          <w:p>
            <w:pPr>
              <w:spacing w:after="20"/>
            </w:pPr>
            <w:r>
              <w:rPr>
                <w:rFonts w:ascii="Calibri" w:hAnsi="Calibri"/>
                <w:b w:val="0"/>
                <w:i w:val="0"/>
                <w:color w:val="2B2F38"/>
                <w:sz w:val="18"/>
              </w:rPr>
              <w:t>RGM Lead</w:t>
            </w:r>
          </w:p>
        </w:tc>
        <w:tc>
          <w:tcPr>
            <w:tcW w:type="dxa" w:w="3231"/>
            <w:shd w:val="clear" w:color="auto" w:fill="F5F7F9"/>
          </w:tcPr>
          <w:p>
            <w:pPr>
              <w:spacing w:after="20"/>
            </w:pPr>
            <w:r>
              <w:rPr>
                <w:rFonts w:ascii="Calibri" w:hAnsi="Calibri"/>
                <w:b w:val="0"/>
                <w:i w:val="0"/>
                <w:color w:val="2B2F38"/>
                <w:sz w:val="18"/>
              </w:rPr>
              <w:t>−60 bps EBITDA; revenue unaffected</w:t>
            </w:r>
          </w:p>
        </w:tc>
      </w:tr>
      <w:tr>
        <w:tc>
          <w:tcPr>
            <w:tcW w:type="dxa" w:w="4372"/>
            <w:shd w:val="clear" w:color="auto" w:fill="FFFFFF"/>
          </w:tcPr>
          <w:p>
            <w:pPr>
              <w:spacing w:after="20"/>
            </w:pPr>
            <w:r>
              <w:rPr>
                <w:rFonts w:ascii="Calibri" w:hAnsi="Calibri"/>
                <w:b w:val="0"/>
                <w:i w:val="0"/>
                <w:color w:val="2B2F38"/>
                <w:sz w:val="18"/>
              </w:rPr>
              <w:t>No list-price increase; mix and pack architecture only</w:t>
            </w:r>
          </w:p>
        </w:tc>
        <w:tc>
          <w:tcPr>
            <w:tcW w:type="dxa" w:w="1901"/>
            <w:shd w:val="clear" w:color="auto" w:fill="FFFFFF"/>
          </w:tcPr>
          <w:p>
            <w:pPr>
              <w:spacing w:after="20"/>
            </w:pPr>
            <w:r>
              <w:rPr>
                <w:rFonts w:ascii="Calibri" w:hAnsi="Calibri"/>
                <w:b w:val="0"/>
                <w:i w:val="0"/>
                <w:color w:val="2B2F38"/>
                <w:sz w:val="18"/>
              </w:rPr>
              <w:t>RGM Lead</w:t>
            </w:r>
          </w:p>
        </w:tc>
        <w:tc>
          <w:tcPr>
            <w:tcW w:type="dxa" w:w="3231"/>
            <w:shd w:val="clear" w:color="auto" w:fill="FFFFFF"/>
          </w:tcPr>
          <w:p>
            <w:pPr>
              <w:spacing w:after="20"/>
            </w:pPr>
            <w:r>
              <w:rPr>
                <w:rFonts w:ascii="Calibri" w:hAnsi="Calibri"/>
                <w:b w:val="0"/>
                <w:i w:val="0"/>
                <w:color w:val="2B2F38"/>
                <w:sz w:val="18"/>
              </w:rPr>
              <w:t>Revenue risk if competitors price up and we do not follow</w:t>
            </w:r>
          </w:p>
        </w:tc>
      </w:tr>
      <w:tr>
        <w:tc>
          <w:tcPr>
            <w:tcW w:type="dxa" w:w="4372"/>
            <w:shd w:val="clear" w:color="auto" w:fill="F5F7F9"/>
          </w:tcPr>
          <w:p>
            <w:pPr>
              <w:spacing w:after="20"/>
            </w:pPr>
            <w:r>
              <w:rPr>
                <w:rFonts w:ascii="Calibri" w:hAnsi="Calibri"/>
                <w:b w:val="0"/>
                <w:i w:val="0"/>
                <w:color w:val="2B2F38"/>
                <w:sz w:val="18"/>
              </w:rPr>
              <w:t>Input costs flat in real terms</w:t>
            </w:r>
          </w:p>
        </w:tc>
        <w:tc>
          <w:tcPr>
            <w:tcW w:type="dxa" w:w="1901"/>
            <w:shd w:val="clear" w:color="auto" w:fill="F5F7F9"/>
          </w:tcPr>
          <w:p>
            <w:pPr>
              <w:spacing w:after="20"/>
            </w:pPr>
            <w:r>
              <w:rPr>
                <w:rFonts w:ascii="Calibri" w:hAnsi="Calibri"/>
                <w:b w:val="0"/>
                <w:i w:val="0"/>
                <w:color w:val="2B2F38"/>
                <w:sz w:val="18"/>
              </w:rPr>
              <w:t>Procurement</w:t>
            </w:r>
          </w:p>
        </w:tc>
        <w:tc>
          <w:tcPr>
            <w:tcW w:type="dxa" w:w="3231"/>
            <w:shd w:val="clear" w:color="auto" w:fill="F5F7F9"/>
          </w:tcPr>
          <w:p>
            <w:pPr>
              <w:spacing w:after="20"/>
            </w:pPr>
            <w:r>
              <w:rPr>
                <w:rFonts w:ascii="Calibri" w:hAnsi="Calibri"/>
                <w:b w:val="0"/>
                <w:i w:val="0"/>
                <w:color w:val="2B2F38"/>
                <w:sz w:val="18"/>
              </w:rPr>
              <w:t>Direct EBITDA exposure, roughly 30 bps per 1% of COGS</w:t>
            </w:r>
          </w:p>
        </w:tc>
      </w:tr>
      <w:tr>
        <w:tc>
          <w:tcPr>
            <w:tcW w:type="dxa" w:w="4372"/>
            <w:shd w:val="clear" w:color="auto" w:fill="FFFFFF"/>
          </w:tcPr>
          <w:p>
            <w:pPr>
              <w:spacing w:after="20"/>
            </w:pPr>
            <w:r>
              <w:rPr>
                <w:rFonts w:ascii="Calibri" w:hAnsi="Calibri"/>
                <w:b w:val="0"/>
                <w:i w:val="0"/>
                <w:color w:val="2B2F38"/>
                <w:sz w:val="18"/>
              </w:rPr>
              <w:t>GLP-1 volume drag no worse than assumed</w:t>
            </w:r>
          </w:p>
        </w:tc>
        <w:tc>
          <w:tcPr>
            <w:tcW w:type="dxa" w:w="1901"/>
            <w:shd w:val="clear" w:color="auto" w:fill="FFFFFF"/>
          </w:tcPr>
          <w:p>
            <w:pPr>
              <w:spacing w:after="20"/>
            </w:pPr>
            <w:r>
              <w:rPr>
                <w:rFonts w:ascii="Calibri" w:hAnsi="Calibri"/>
                <w:b w:val="0"/>
                <w:i w:val="0"/>
                <w:color w:val="2B2F38"/>
                <w:sz w:val="18"/>
              </w:rPr>
              <w:t>Strategy</w:t>
            </w:r>
          </w:p>
        </w:tc>
        <w:tc>
          <w:tcPr>
            <w:tcW w:type="dxa" w:w="3231"/>
            <w:shd w:val="clear" w:color="auto" w:fill="FFFFFF"/>
          </w:tcPr>
          <w:p>
            <w:pPr>
              <w:spacing w:after="20"/>
            </w:pPr>
            <w:r>
              <w:rPr>
                <w:rFonts w:ascii="Calibri" w:hAnsi="Calibri"/>
                <w:b w:val="0"/>
                <w:i w:val="0"/>
                <w:color w:val="2B2F38"/>
                <w:sz w:val="18"/>
              </w:rPr>
              <w:t>−$5M revenue per additional point of category volume drag</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Assumption owners are accountable for reporting deviation monthly, not annually.</w:t>
      </w:r>
    </w:p>
    <w:p>
      <w:pPr>
        <w:keepNext/>
        <w:spacing w:after="40" w:before="240" w:line="274" w:lineRule="auto"/>
      </w:pPr>
      <w:r>
        <w:rPr>
          <w:rFonts w:ascii="Calibri" w:hAnsi="Calibri"/>
          <w:b/>
          <w:i w:val="0"/>
          <w:color w:val="2E7D75"/>
          <w:sz w:val="18"/>
        </w:rPr>
        <w:t>SENSITIVITIES</w:t>
      </w:r>
    </w:p>
    <w:p>
      <w:pPr>
        <w:keepNext/>
        <w:spacing w:after="100" w:before="0" w:line="274" w:lineRule="auto"/>
      </w:pPr>
      <w:r>
        <w:rPr>
          <w:rFonts w:ascii="Calibri" w:hAnsi="Calibri"/>
          <w:b/>
          <w:i w:val="0"/>
          <w:color w:val="1F2A44"/>
          <w:sz w:val="31"/>
        </w:rPr>
        <w:t>6 · The three cases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1331"/>
        <w:gridCol w:w="1711"/>
        <w:gridCol w:w="1901"/>
        <w:gridCol w:w="4562"/>
      </w:tblGrid>
      <w:tr>
        <w:tc>
          <w:tcPr>
            <w:tcW w:type="dxa" w:w="1331"/>
            <w:shd w:val="clear" w:color="auto" w:fill="1F2A44"/>
          </w:tcPr>
          <w:p>
            <w:pPr>
              <w:spacing w:after="20"/>
            </w:pPr>
            <w:r>
              <w:rPr>
                <w:rFonts w:ascii="Calibri" w:hAnsi="Calibri"/>
                <w:b/>
                <w:i w:val="0"/>
                <w:color w:val="FFFFFF"/>
                <w:sz w:val="17"/>
              </w:rPr>
              <w:t>Case</w:t>
            </w:r>
          </w:p>
        </w:tc>
        <w:tc>
          <w:tcPr>
            <w:tcW w:type="dxa" w:w="1711"/>
            <w:shd w:val="clear" w:color="auto" w:fill="1F2A44"/>
          </w:tcPr>
          <w:p>
            <w:pPr>
              <w:spacing w:after="20"/>
              <w:jc w:val="right"/>
            </w:pPr>
            <w:r>
              <w:rPr>
                <w:rFonts w:ascii="Calibri" w:hAnsi="Calibri"/>
                <w:b/>
                <w:i w:val="0"/>
                <w:color w:val="FFFFFF"/>
                <w:sz w:val="17"/>
              </w:rPr>
              <w:t>FY27 revenue</w:t>
            </w:r>
          </w:p>
        </w:tc>
        <w:tc>
          <w:tcPr>
            <w:tcW w:type="dxa" w:w="1901"/>
            <w:shd w:val="clear" w:color="auto" w:fill="1F2A44"/>
          </w:tcPr>
          <w:p>
            <w:pPr>
              <w:spacing w:after="20"/>
              <w:jc w:val="right"/>
            </w:pPr>
            <w:r>
              <w:rPr>
                <w:rFonts w:ascii="Calibri" w:hAnsi="Calibri"/>
                <w:b/>
                <w:i w:val="0"/>
                <w:color w:val="FFFFFF"/>
                <w:sz w:val="17"/>
              </w:rPr>
              <w:t>FY27 EBITDA margin</w:t>
            </w:r>
          </w:p>
        </w:tc>
        <w:tc>
          <w:tcPr>
            <w:tcW w:type="dxa" w:w="4562"/>
            <w:shd w:val="clear" w:color="auto" w:fill="1F2A44"/>
          </w:tcPr>
          <w:p>
            <w:pPr>
              <w:spacing w:after="20"/>
              <w:jc w:val="right"/>
            </w:pPr>
            <w:r>
              <w:rPr>
                <w:rFonts w:ascii="Calibri" w:hAnsi="Calibri"/>
                <w:b/>
                <w:i w:val="0"/>
                <w:color w:val="FFFFFF"/>
                <w:sz w:val="17"/>
              </w:rPr>
              <w:t>What it assumes</w:t>
            </w:r>
          </w:p>
        </w:tc>
      </w:tr>
      <w:tr>
        <w:tc>
          <w:tcPr>
            <w:tcW w:type="dxa" w:w="1331"/>
            <w:shd w:val="clear" w:color="auto" w:fill="FFFFFF"/>
          </w:tcPr>
          <w:p>
            <w:pPr>
              <w:spacing w:after="20"/>
            </w:pPr>
            <w:r>
              <w:rPr>
                <w:rFonts w:ascii="Calibri" w:hAnsi="Calibri"/>
                <w:b w:val="0"/>
                <w:i w:val="0"/>
                <w:color w:val="2B2F38"/>
                <w:sz w:val="18"/>
              </w:rPr>
              <w:t>Downside</w:t>
            </w:r>
          </w:p>
        </w:tc>
        <w:tc>
          <w:tcPr>
            <w:tcW w:type="dxa" w:w="1711"/>
            <w:shd w:val="clear" w:color="auto" w:fill="FFFFFF"/>
          </w:tcPr>
          <w:p>
            <w:pPr>
              <w:spacing w:after="20"/>
              <w:jc w:val="right"/>
            </w:pPr>
            <w:r>
              <w:rPr>
                <w:rFonts w:ascii="Calibri" w:hAnsi="Calibri"/>
                <w:b w:val="0"/>
                <w:i w:val="0"/>
                <w:color w:val="2B2F38"/>
                <w:sz w:val="18"/>
              </w:rPr>
              <w:t>$856M</w:t>
            </w:r>
          </w:p>
        </w:tc>
        <w:tc>
          <w:tcPr>
            <w:tcW w:type="dxa" w:w="1901"/>
            <w:shd w:val="clear" w:color="auto" w:fill="FFFFFF"/>
          </w:tcPr>
          <w:p>
            <w:pPr>
              <w:spacing w:after="20"/>
              <w:jc w:val="right"/>
            </w:pPr>
            <w:r>
              <w:rPr>
                <w:rFonts w:ascii="Calibri" w:hAnsi="Calibri"/>
                <w:b w:val="0"/>
                <w:i w:val="0"/>
                <w:color w:val="2B2F38"/>
                <w:sz w:val="18"/>
              </w:rPr>
              <w:t>14.4%</w:t>
            </w:r>
          </w:p>
        </w:tc>
        <w:tc>
          <w:tcPr>
            <w:tcW w:type="dxa" w:w="4562"/>
            <w:shd w:val="clear" w:color="auto" w:fill="FFFFFF"/>
          </w:tcPr>
          <w:p>
            <w:pPr>
              <w:spacing w:after="20"/>
              <w:jc w:val="right"/>
            </w:pPr>
            <w:r>
              <w:rPr>
                <w:rFonts w:ascii="Calibri" w:hAnsi="Calibri"/>
                <w:b w:val="0"/>
                <w:i w:val="0"/>
                <w:color w:val="2B2F38"/>
                <w:sz w:val="18"/>
              </w:rPr>
              <w:t>Pack Refresh slips a quarter, protein growth halves, trade index stalls at 0.52</w:t>
            </w:r>
          </w:p>
        </w:tc>
      </w:tr>
      <w:tr>
        <w:tc>
          <w:tcPr>
            <w:tcW w:type="dxa" w:w="1331"/>
            <w:shd w:val="clear" w:color="auto" w:fill="F5F7F9"/>
          </w:tcPr>
          <w:p>
            <w:pPr>
              <w:spacing w:after="20"/>
            </w:pPr>
            <w:r>
              <w:rPr>
                <w:rFonts w:ascii="Calibri" w:hAnsi="Calibri"/>
                <w:b w:val="0"/>
                <w:i w:val="0"/>
                <w:color w:val="2B2F38"/>
                <w:sz w:val="18"/>
              </w:rPr>
              <w:t>Plan</w:t>
            </w:r>
          </w:p>
        </w:tc>
        <w:tc>
          <w:tcPr>
            <w:tcW w:type="dxa" w:w="1711"/>
            <w:shd w:val="clear" w:color="auto" w:fill="F5F7F9"/>
          </w:tcPr>
          <w:p>
            <w:pPr>
              <w:spacing w:after="20"/>
              <w:jc w:val="right"/>
            </w:pPr>
            <w:r>
              <w:rPr>
                <w:rFonts w:ascii="Calibri" w:hAnsi="Calibri"/>
                <w:b w:val="0"/>
                <w:i w:val="0"/>
                <w:color w:val="2B2F38"/>
                <w:sz w:val="18"/>
              </w:rPr>
              <w:t>$880M</w:t>
            </w:r>
          </w:p>
        </w:tc>
        <w:tc>
          <w:tcPr>
            <w:tcW w:type="dxa" w:w="1901"/>
            <w:shd w:val="clear" w:color="auto" w:fill="F5F7F9"/>
          </w:tcPr>
          <w:p>
            <w:pPr>
              <w:spacing w:after="20"/>
              <w:jc w:val="right"/>
            </w:pPr>
            <w:r>
              <w:rPr>
                <w:rFonts w:ascii="Calibri" w:hAnsi="Calibri"/>
                <w:b w:val="0"/>
                <w:i w:val="0"/>
                <w:color w:val="2B2F38"/>
                <w:sz w:val="18"/>
              </w:rPr>
              <w:t>~15.0%</w:t>
            </w:r>
          </w:p>
        </w:tc>
        <w:tc>
          <w:tcPr>
            <w:tcW w:type="dxa" w:w="4562"/>
            <w:shd w:val="clear" w:color="auto" w:fill="F5F7F9"/>
          </w:tcPr>
          <w:p>
            <w:pPr>
              <w:spacing w:after="20"/>
              <w:jc w:val="right"/>
            </w:pPr>
            <w:r>
              <w:rPr>
                <w:rFonts w:ascii="Calibri" w:hAnsi="Calibri"/>
                <w:b w:val="0"/>
                <w:i w:val="0"/>
                <w:color w:val="2B2F38"/>
                <w:sz w:val="18"/>
              </w:rPr>
              <w:t>All seven assumptions hold</w:t>
            </w:r>
          </w:p>
        </w:tc>
      </w:tr>
      <w:tr>
        <w:tc>
          <w:tcPr>
            <w:tcW w:type="dxa" w:w="1331"/>
            <w:shd w:val="clear" w:color="auto" w:fill="FFFFFF"/>
          </w:tcPr>
          <w:p>
            <w:pPr>
              <w:spacing w:after="20"/>
            </w:pPr>
            <w:r>
              <w:rPr>
                <w:rFonts w:ascii="Calibri" w:hAnsi="Calibri"/>
                <w:b w:val="0"/>
                <w:i w:val="0"/>
                <w:color w:val="2B2F38"/>
                <w:sz w:val="18"/>
              </w:rPr>
              <w:t>Upside</w:t>
            </w:r>
          </w:p>
        </w:tc>
        <w:tc>
          <w:tcPr>
            <w:tcW w:type="dxa" w:w="1711"/>
            <w:shd w:val="clear" w:color="auto" w:fill="FFFFFF"/>
          </w:tcPr>
          <w:p>
            <w:pPr>
              <w:spacing w:after="20"/>
              <w:jc w:val="right"/>
            </w:pPr>
            <w:r>
              <w:rPr>
                <w:rFonts w:ascii="Calibri" w:hAnsi="Calibri"/>
                <w:b w:val="0"/>
                <w:i w:val="0"/>
                <w:color w:val="2B2F38"/>
                <w:sz w:val="18"/>
              </w:rPr>
              <w:t>$898M</w:t>
            </w:r>
          </w:p>
        </w:tc>
        <w:tc>
          <w:tcPr>
            <w:tcW w:type="dxa" w:w="1901"/>
            <w:shd w:val="clear" w:color="auto" w:fill="FFFFFF"/>
          </w:tcPr>
          <w:p>
            <w:pPr>
              <w:spacing w:after="20"/>
              <w:jc w:val="right"/>
            </w:pPr>
            <w:r>
              <w:rPr>
                <w:rFonts w:ascii="Calibri" w:hAnsi="Calibri"/>
                <w:b w:val="0"/>
                <w:i w:val="0"/>
                <w:color w:val="2B2F38"/>
                <w:sz w:val="18"/>
              </w:rPr>
              <w:t>15.5%</w:t>
            </w:r>
          </w:p>
        </w:tc>
        <w:tc>
          <w:tcPr>
            <w:tcW w:type="dxa" w:w="4562"/>
            <w:shd w:val="clear" w:color="auto" w:fill="FFFFFF"/>
          </w:tcPr>
          <w:p>
            <w:pPr>
              <w:spacing w:after="20"/>
              <w:jc w:val="right"/>
            </w:pPr>
            <w:r>
              <w:rPr>
                <w:rFonts w:ascii="Calibri" w:hAnsi="Calibri"/>
                <w:b w:val="0"/>
                <w:i w:val="0"/>
                <w:color w:val="2B2F38"/>
                <w:sz w:val="18"/>
              </w:rPr>
              <w:t>Walmart protein authorisation lands early, Louisiana recovers past 5.0%, index reaches 0.62</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Cases are planning estimates, not modelled forecasts.</w:t>
      </w:r>
    </w:p>
    <w:p>
      <w:pPr>
        <w:keepNext/>
        <w:spacing w:after="60" w:before="180" w:line="274" w:lineRule="auto"/>
      </w:pPr>
      <w:r>
        <w:rPr>
          <w:rFonts w:ascii="Calibri" w:hAnsi="Calibri"/>
          <w:b/>
          <w:i w:val="0"/>
          <w:color w:val="1F2A44"/>
          <w:sz w:val="23"/>
        </w:rPr>
        <w:t>Recommendations &amp; next steps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475"/>
        <w:gridCol w:w="5227"/>
        <w:gridCol w:w="2281"/>
        <w:gridCol w:w="1521"/>
      </w:tblGrid>
      <w:tr>
        <w:tc>
          <w:tcPr>
            <w:tcW w:type="dxa" w:w="475"/>
            <w:shd w:val="clear" w:color="auto" w:fill="1F2A44"/>
          </w:tcPr>
          <w:p>
            <w:pPr>
              <w:spacing w:after="20"/>
            </w:pPr>
            <w:r>
              <w:rPr>
                <w:rFonts w:ascii="Calibri" w:hAnsi="Calibri"/>
                <w:b/>
                <w:i w:val="0"/>
                <w:color w:val="FFFFFF"/>
                <w:sz w:val="18"/>
              </w:rPr>
              <w:t>#</w:t>
            </w:r>
          </w:p>
        </w:tc>
        <w:tc>
          <w:tcPr>
            <w:tcW w:type="dxa" w:w="5227"/>
            <w:shd w:val="clear" w:color="auto" w:fill="1F2A44"/>
          </w:tcPr>
          <w:p>
            <w:pPr>
              <w:spacing w:after="20"/>
            </w:pPr>
            <w:r>
              <w:rPr>
                <w:rFonts w:ascii="Calibri" w:hAnsi="Calibri"/>
                <w:b/>
                <w:i w:val="0"/>
                <w:color w:val="FFFFFF"/>
                <w:sz w:val="18"/>
              </w:rPr>
              <w:t>Action</w:t>
            </w:r>
          </w:p>
        </w:tc>
        <w:tc>
          <w:tcPr>
            <w:tcW w:type="dxa" w:w="2281"/>
            <w:shd w:val="clear" w:color="auto" w:fill="1F2A44"/>
          </w:tcPr>
          <w:p>
            <w:pPr>
              <w:spacing w:after="20"/>
            </w:pPr>
            <w:r>
              <w:rPr>
                <w:rFonts w:ascii="Calibri" w:hAnsi="Calibri"/>
                <w:b/>
                <w:i w:val="0"/>
                <w:color w:val="FFFFFF"/>
                <w:sz w:val="18"/>
              </w:rPr>
              <w:t>Owner</w:t>
            </w:r>
          </w:p>
        </w:tc>
        <w:tc>
          <w:tcPr>
            <w:tcW w:type="dxa" w:w="1521"/>
            <w:shd w:val="clear" w:color="auto" w:fill="1F2A44"/>
          </w:tcPr>
          <w:p>
            <w:pPr>
              <w:spacing w:after="20"/>
              <w:jc w:val="right"/>
            </w:pPr>
            <w:r>
              <w:rPr>
                <w:rFonts w:ascii="Calibri" w:hAnsi="Calibri"/>
                <w:b/>
                <w:i w:val="0"/>
                <w:color w:val="FFFFFF"/>
                <w:sz w:val="18"/>
              </w:rPr>
              <w:t>When</w:t>
            </w:r>
          </w:p>
        </w:tc>
      </w:tr>
      <w:tr>
        <w:tc>
          <w:tcPr>
            <w:tcW w:type="dxa" w:w="475"/>
            <w:shd w:val="clear" w:color="auto" w:fill="FFFFFF"/>
          </w:tcPr>
          <w:p>
            <w:pPr>
              <w:spacing w:after="20"/>
            </w:pPr>
            <w:r>
              <w:rPr>
                <w:rFonts w:ascii="Calibri" w:hAnsi="Calibri"/>
                <w:b w:val="0"/>
                <w:i w:val="0"/>
                <w:color w:val="2B2F38"/>
                <w:sz w:val="19"/>
              </w:rPr>
              <w:t>1</w:t>
            </w:r>
          </w:p>
        </w:tc>
        <w:tc>
          <w:tcPr>
            <w:tcW w:type="dxa" w:w="5227"/>
            <w:shd w:val="clear" w:color="auto" w:fill="FFFFFF"/>
          </w:tcPr>
          <w:p>
            <w:pPr>
              <w:spacing w:after="20"/>
            </w:pPr>
            <w:r>
              <w:rPr>
                <w:rFonts w:ascii="Calibri" w:hAnsi="Calibri"/>
                <w:b w:val="0"/>
                <w:i w:val="0"/>
                <w:color w:val="2B2F38"/>
                <w:sz w:val="19"/>
              </w:rPr>
              <w:t>Approve the $880M FY27 revenue plan and the ~15.0% EBITDA target</w:t>
            </w:r>
          </w:p>
        </w:tc>
        <w:tc>
          <w:tcPr>
            <w:tcW w:type="dxa" w:w="2281"/>
            <w:shd w:val="clear" w:color="auto" w:fill="FFFFFF"/>
          </w:tcPr>
          <w:p>
            <w:pPr>
              <w:spacing w:after="20"/>
            </w:pPr>
            <w:r>
              <w:rPr>
                <w:rFonts w:ascii="Calibri" w:hAnsi="Calibri"/>
                <w:b w:val="0"/>
                <w:i w:val="0"/>
                <w:color w:val="2B2F38"/>
                <w:sz w:val="19"/>
              </w:rPr>
              <w:t>Board</w:t>
            </w:r>
          </w:p>
        </w:tc>
        <w:tc>
          <w:tcPr>
            <w:tcW w:type="dxa" w:w="1521"/>
            <w:shd w:val="clear" w:color="auto" w:fill="FFFFFF"/>
          </w:tcPr>
          <w:p>
            <w:pPr>
              <w:spacing w:after="20"/>
              <w:jc w:val="right"/>
            </w:pPr>
            <w:r>
              <w:rPr>
                <w:rFonts w:ascii="Calibri" w:hAnsi="Calibri"/>
                <w:b w:val="0"/>
                <w:i w:val="0"/>
                <w:color w:val="2B2F38"/>
                <w:sz w:val="19"/>
              </w:rPr>
              <w:t>October 2026</w:t>
            </w:r>
          </w:p>
        </w:tc>
      </w:tr>
      <w:tr>
        <w:tc>
          <w:tcPr>
            <w:tcW w:type="dxa" w:w="475"/>
            <w:shd w:val="clear" w:color="auto" w:fill="F5F7F9"/>
          </w:tcPr>
          <w:p>
            <w:pPr>
              <w:spacing w:after="20"/>
            </w:pPr>
            <w:r>
              <w:rPr>
                <w:rFonts w:ascii="Calibri" w:hAnsi="Calibri"/>
                <w:b w:val="0"/>
                <w:i w:val="0"/>
                <w:color w:val="2B2F38"/>
                <w:sz w:val="19"/>
              </w:rPr>
              <w:t>2</w:t>
            </w:r>
          </w:p>
        </w:tc>
        <w:tc>
          <w:tcPr>
            <w:tcW w:type="dxa" w:w="5227"/>
            <w:shd w:val="clear" w:color="auto" w:fill="F5F7F9"/>
          </w:tcPr>
          <w:p>
            <w:pPr>
              <w:spacing w:after="20"/>
            </w:pPr>
            <w:r>
              <w:rPr>
                <w:rFonts w:ascii="Calibri" w:hAnsi="Calibri"/>
                <w:b w:val="0"/>
                <w:i w:val="0"/>
                <w:color w:val="2B2F38"/>
                <w:sz w:val="19"/>
              </w:rPr>
              <w:t>Approve the trade-efficiency programme as the primary margin lever</w:t>
            </w:r>
          </w:p>
        </w:tc>
        <w:tc>
          <w:tcPr>
            <w:tcW w:type="dxa" w:w="2281"/>
            <w:shd w:val="clear" w:color="auto" w:fill="F5F7F9"/>
          </w:tcPr>
          <w:p>
            <w:pPr>
              <w:spacing w:after="20"/>
            </w:pPr>
            <w:r>
              <w:rPr>
                <w:rFonts w:ascii="Calibri" w:hAnsi="Calibri"/>
                <w:b w:val="0"/>
                <w:i w:val="0"/>
                <w:color w:val="2B2F38"/>
                <w:sz w:val="19"/>
              </w:rPr>
              <w:t>CFO / RGM Lead</w:t>
            </w:r>
          </w:p>
        </w:tc>
        <w:tc>
          <w:tcPr>
            <w:tcW w:type="dxa" w:w="1521"/>
            <w:shd w:val="clear" w:color="auto" w:fill="F5F7F9"/>
          </w:tcPr>
          <w:p>
            <w:pPr>
              <w:spacing w:after="20"/>
              <w:jc w:val="right"/>
            </w:pPr>
            <w:r>
              <w:rPr>
                <w:rFonts w:ascii="Calibri" w:hAnsi="Calibri"/>
                <w:b w:val="0"/>
                <w:i w:val="0"/>
                <w:color w:val="2B2F38"/>
                <w:sz w:val="19"/>
              </w:rPr>
              <w:t>October 2026</w:t>
            </w:r>
          </w:p>
        </w:tc>
      </w:tr>
      <w:tr>
        <w:tc>
          <w:tcPr>
            <w:tcW w:type="dxa" w:w="475"/>
            <w:shd w:val="clear" w:color="auto" w:fill="FFFFFF"/>
          </w:tcPr>
          <w:p>
            <w:pPr>
              <w:spacing w:after="20"/>
            </w:pPr>
            <w:r>
              <w:rPr>
                <w:rFonts w:ascii="Calibri" w:hAnsi="Calibri"/>
                <w:b w:val="0"/>
                <w:i w:val="0"/>
                <w:color w:val="2B2F38"/>
                <w:sz w:val="19"/>
              </w:rPr>
              <w:t>3</w:t>
            </w:r>
          </w:p>
        </w:tc>
        <w:tc>
          <w:tcPr>
            <w:tcW w:type="dxa" w:w="5227"/>
            <w:shd w:val="clear" w:color="auto" w:fill="FFFFFF"/>
          </w:tcPr>
          <w:p>
            <w:pPr>
              <w:spacing w:after="20"/>
            </w:pPr>
            <w:r>
              <w:rPr>
                <w:rFonts w:ascii="Calibri" w:hAnsi="Calibri"/>
                <w:b w:val="0"/>
                <w:i w:val="0"/>
                <w:color w:val="2B2F38"/>
                <w:sz w:val="19"/>
              </w:rPr>
              <w:t>Require monthly assumption-deviation reporting from each named owner</w:t>
            </w:r>
          </w:p>
        </w:tc>
        <w:tc>
          <w:tcPr>
            <w:tcW w:type="dxa" w:w="2281"/>
            <w:shd w:val="clear" w:color="auto" w:fill="FFFFFF"/>
          </w:tcPr>
          <w:p>
            <w:pPr>
              <w:spacing w:after="20"/>
            </w:pPr>
            <w:r>
              <w:rPr>
                <w:rFonts w:ascii="Calibri" w:hAnsi="Calibri"/>
                <w:b w:val="0"/>
                <w:i w:val="0"/>
                <w:color w:val="2B2F38"/>
                <w:sz w:val="19"/>
              </w:rPr>
              <w:t>FP&amp;A</w:t>
            </w:r>
          </w:p>
        </w:tc>
        <w:tc>
          <w:tcPr>
            <w:tcW w:type="dxa" w:w="1521"/>
            <w:shd w:val="clear" w:color="auto" w:fill="FFFFFF"/>
          </w:tcPr>
          <w:p>
            <w:pPr>
              <w:spacing w:after="20"/>
              <w:jc w:val="right"/>
            </w:pPr>
            <w:r>
              <w:rPr>
                <w:rFonts w:ascii="Calibri" w:hAnsi="Calibri"/>
                <w:b w:val="0"/>
                <w:i w:val="0"/>
                <w:color w:val="2B2F38"/>
                <w:sz w:val="19"/>
              </w:rPr>
              <w:t>From Jan 2027</w:t>
            </w:r>
          </w:p>
        </w:tc>
      </w:tr>
      <w:tr>
        <w:tc>
          <w:tcPr>
            <w:tcW w:type="dxa" w:w="475"/>
            <w:shd w:val="clear" w:color="auto" w:fill="F5F7F9"/>
          </w:tcPr>
          <w:p>
            <w:pPr>
              <w:spacing w:after="20"/>
            </w:pPr>
            <w:r>
              <w:rPr>
                <w:rFonts w:ascii="Calibri" w:hAnsi="Calibri"/>
                <w:b w:val="0"/>
                <w:i w:val="0"/>
                <w:color w:val="2B2F38"/>
                <w:sz w:val="19"/>
              </w:rPr>
              <w:t>4</w:t>
            </w:r>
          </w:p>
        </w:tc>
        <w:tc>
          <w:tcPr>
            <w:tcW w:type="dxa" w:w="5227"/>
            <w:shd w:val="clear" w:color="auto" w:fill="F5F7F9"/>
          </w:tcPr>
          <w:p>
            <w:pPr>
              <w:spacing w:after="20"/>
            </w:pPr>
            <w:r>
              <w:rPr>
                <w:rFonts w:ascii="Calibri" w:hAnsi="Calibri"/>
                <w:b w:val="0"/>
                <w:i w:val="0"/>
                <w:color w:val="2B2F38"/>
                <w:sz w:val="19"/>
              </w:rPr>
              <w:t>Re-baseline the FY27–FY29 long-range plan against this AOP</w:t>
            </w:r>
          </w:p>
        </w:tc>
        <w:tc>
          <w:tcPr>
            <w:tcW w:type="dxa" w:w="2281"/>
            <w:shd w:val="clear" w:color="auto" w:fill="F5F7F9"/>
          </w:tcPr>
          <w:p>
            <w:pPr>
              <w:spacing w:after="20"/>
            </w:pPr>
            <w:r>
              <w:rPr>
                <w:rFonts w:ascii="Calibri" w:hAnsi="Calibri"/>
                <w:b w:val="0"/>
                <w:i w:val="0"/>
                <w:color w:val="2B2F38"/>
                <w:sz w:val="19"/>
              </w:rPr>
              <w:t>Strategy</w:t>
            </w:r>
          </w:p>
        </w:tc>
        <w:tc>
          <w:tcPr>
            <w:tcW w:type="dxa" w:w="1521"/>
            <w:shd w:val="clear" w:color="auto" w:fill="F5F7F9"/>
          </w:tcPr>
          <w:p>
            <w:pPr>
              <w:spacing w:after="20"/>
              <w:jc w:val="right"/>
            </w:pPr>
            <w:r>
              <w:rPr>
                <w:rFonts w:ascii="Calibri" w:hAnsi="Calibri"/>
                <w:b w:val="0"/>
                <w:i w:val="0"/>
                <w:color w:val="2B2F38"/>
                <w:sz w:val="19"/>
              </w:rPr>
              <w:t>July 2027</w:t>
            </w:r>
          </w:p>
        </w:tc>
      </w:tr>
    </w:tbl>
    <w:p>
      <w:pPr>
        <w:keepNext w:val="0"/>
        <w:spacing w:after="60" w:before="0" w:line="274" w:lineRule="auto"/>
      </w:pPr>
    </w:p>
    <w:p>
      <w:pPr>
        <w:keepNext/>
        <w:spacing w:after="60" w:before="180" w:line="274" w:lineRule="auto"/>
      </w:pPr>
      <w:r>
        <w:rPr>
          <w:rFonts w:ascii="Calibri" w:hAnsi="Calibri"/>
          <w:b/>
          <w:i w:val="0"/>
          <w:color w:val="1F2A44"/>
          <w:sz w:val="23"/>
        </w:rPr>
        <w:t>Approvals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2851"/>
        <w:gridCol w:w="4942"/>
        <w:gridCol w:w="1711"/>
      </w:tblGrid>
      <w:tr>
        <w:tc>
          <w:tcPr>
            <w:tcW w:type="dxa" w:w="2851"/>
            <w:shd w:val="clear" w:color="auto" w:fill="1F2A44"/>
          </w:tcPr>
          <w:p>
            <w:pPr>
              <w:spacing w:after="20"/>
            </w:pPr>
            <w:r>
              <w:rPr>
                <w:rFonts w:ascii="Calibri" w:hAnsi="Calibri"/>
                <w:b/>
                <w:i w:val="0"/>
                <w:color w:val="FFFFFF"/>
                <w:sz w:val="18"/>
              </w:rPr>
              <w:t>Approver</w:t>
            </w:r>
          </w:p>
        </w:tc>
        <w:tc>
          <w:tcPr>
            <w:tcW w:type="dxa" w:w="4942"/>
            <w:shd w:val="clear" w:color="auto" w:fill="1F2A44"/>
          </w:tcPr>
          <w:p>
            <w:pPr>
              <w:spacing w:after="20"/>
            </w:pPr>
            <w:r>
              <w:rPr>
                <w:rFonts w:ascii="Calibri" w:hAnsi="Calibri"/>
                <w:b/>
                <w:i w:val="0"/>
                <w:color w:val="FFFFFF"/>
                <w:sz w:val="18"/>
              </w:rPr>
              <w:t>Approving</w:t>
            </w:r>
          </w:p>
        </w:tc>
        <w:tc>
          <w:tcPr>
            <w:tcW w:type="dxa" w:w="1711"/>
            <w:shd w:val="clear" w:color="auto" w:fill="1F2A44"/>
          </w:tcPr>
          <w:p>
            <w:pPr>
              <w:spacing w:after="20"/>
              <w:jc w:val="right"/>
            </w:pPr>
            <w:r>
              <w:rPr>
                <w:rFonts w:ascii="Calibri" w:hAnsi="Calibri"/>
                <w:b/>
                <w:i w:val="0"/>
                <w:color w:val="FFFFFF"/>
                <w:sz w:val="18"/>
              </w:rPr>
              <w:t>Date</w:t>
            </w:r>
          </w:p>
        </w:tc>
      </w:tr>
      <w:tr>
        <w:tc>
          <w:tcPr>
            <w:tcW w:type="dxa" w:w="2851"/>
            <w:shd w:val="clear" w:color="auto" w:fill="FFFFFF"/>
          </w:tcPr>
          <w:p>
            <w:pPr>
              <w:spacing w:after="20"/>
            </w:pPr>
            <w:r>
              <w:rPr>
                <w:rFonts w:ascii="Calibri" w:hAnsi="Calibri"/>
                <w:b w:val="0"/>
                <w:i w:val="0"/>
                <w:color w:val="2B2F38"/>
                <w:sz w:val="19"/>
              </w:rPr>
              <w:t>CFO</w:t>
            </w:r>
          </w:p>
        </w:tc>
        <w:tc>
          <w:tcPr>
            <w:tcW w:type="dxa" w:w="4942"/>
            <w:shd w:val="clear" w:color="auto" w:fill="FFFFFF"/>
          </w:tcPr>
          <w:p>
            <w:pPr>
              <w:spacing w:after="20"/>
            </w:pPr>
            <w:r>
              <w:rPr>
                <w:rFonts w:ascii="Calibri" w:hAnsi="Calibri"/>
                <w:b w:val="0"/>
                <w:i w:val="0"/>
                <w:color w:val="2B2F38"/>
                <w:sz w:val="19"/>
              </w:rPr>
              <w:t>the FY27 revenue and margin plan</w:t>
            </w:r>
          </w:p>
        </w:tc>
        <w:tc>
          <w:tcPr>
            <w:tcW w:type="dxa" w:w="1711"/>
            <w:shd w:val="clear" w:color="auto" w:fill="FFFFFF"/>
          </w:tcPr>
          <w:p>
            <w:pPr>
              <w:spacing w:after="20"/>
              <w:jc w:val="right"/>
            </w:pPr>
            <w:r>
              <w:rPr>
                <w:rFonts w:ascii="Calibri" w:hAnsi="Calibri"/>
                <w:b w:val="0"/>
                <w:i w:val="0"/>
                <w:color w:val="2B2F38"/>
                <w:sz w:val="19"/>
              </w:rPr>
              <w:t>________</w:t>
            </w:r>
          </w:p>
        </w:tc>
      </w:tr>
      <w:tr>
        <w:tc>
          <w:tcPr>
            <w:tcW w:type="dxa" w:w="2851"/>
            <w:shd w:val="clear" w:color="auto" w:fill="F5F7F9"/>
          </w:tcPr>
          <w:p>
            <w:pPr>
              <w:spacing w:after="20"/>
            </w:pPr>
            <w:r>
              <w:rPr>
                <w:rFonts w:ascii="Calibri" w:hAnsi="Calibri"/>
                <w:b w:val="0"/>
                <w:i w:val="0"/>
                <w:color w:val="2B2F38"/>
                <w:sz w:val="19"/>
              </w:rPr>
              <w:t>CEO Gregory Whitfield</w:t>
            </w:r>
          </w:p>
        </w:tc>
        <w:tc>
          <w:tcPr>
            <w:tcW w:type="dxa" w:w="4942"/>
            <w:shd w:val="clear" w:color="auto" w:fill="F5F7F9"/>
          </w:tcPr>
          <w:p>
            <w:pPr>
              <w:spacing w:after="20"/>
            </w:pPr>
            <w:r>
              <w:rPr>
                <w:rFonts w:ascii="Calibri" w:hAnsi="Calibri"/>
                <w:b w:val="0"/>
                <w:i w:val="0"/>
                <w:color w:val="2B2F38"/>
                <w:sz w:val="19"/>
              </w:rPr>
              <w:t>the initiative set and the stop list</w:t>
            </w:r>
          </w:p>
        </w:tc>
        <w:tc>
          <w:tcPr>
            <w:tcW w:type="dxa" w:w="1711"/>
            <w:shd w:val="clear" w:color="auto" w:fill="F5F7F9"/>
          </w:tcPr>
          <w:p>
            <w:pPr>
              <w:spacing w:after="20"/>
              <w:jc w:val="right"/>
            </w:pPr>
            <w:r>
              <w:rPr>
                <w:rFonts w:ascii="Calibri" w:hAnsi="Calibri"/>
                <w:b w:val="0"/>
                <w:i w:val="0"/>
                <w:color w:val="2B2F38"/>
                <w:sz w:val="19"/>
              </w:rPr>
              <w:t>________</w:t>
            </w:r>
          </w:p>
        </w:tc>
      </w:tr>
      <w:tr>
        <w:tc>
          <w:tcPr>
            <w:tcW w:type="dxa" w:w="2851"/>
            <w:shd w:val="clear" w:color="auto" w:fill="FFFFFF"/>
          </w:tcPr>
          <w:p>
            <w:pPr>
              <w:spacing w:after="20"/>
            </w:pPr>
            <w:r>
              <w:rPr>
                <w:rFonts w:ascii="Calibri" w:hAnsi="Calibri"/>
                <w:b w:val="0"/>
                <w:i w:val="0"/>
                <w:color w:val="2B2F38"/>
                <w:sz w:val="19"/>
              </w:rPr>
              <w:t>VP Sales NA, Diane Halverson</w:t>
            </w:r>
          </w:p>
        </w:tc>
        <w:tc>
          <w:tcPr>
            <w:tcW w:type="dxa" w:w="4942"/>
            <w:shd w:val="clear" w:color="auto" w:fill="FFFFFF"/>
          </w:tcPr>
          <w:p>
            <w:pPr>
              <w:spacing w:after="20"/>
            </w:pPr>
            <w:r>
              <w:rPr>
                <w:rFonts w:ascii="Calibri" w:hAnsi="Calibri"/>
                <w:b w:val="0"/>
                <w:i w:val="0"/>
                <w:color w:val="2B2F38"/>
                <w:sz w:val="19"/>
              </w:rPr>
              <w:t>the brand and customer revenue commitments</w:t>
            </w:r>
          </w:p>
        </w:tc>
        <w:tc>
          <w:tcPr>
            <w:tcW w:type="dxa" w:w="1711"/>
            <w:shd w:val="clear" w:color="auto" w:fill="FFFFFF"/>
          </w:tcPr>
          <w:p>
            <w:pPr>
              <w:spacing w:after="20"/>
              <w:jc w:val="right"/>
            </w:pPr>
            <w:r>
              <w:rPr>
                <w:rFonts w:ascii="Calibri" w:hAnsi="Calibri"/>
                <w:b w:val="0"/>
                <w:i w:val="0"/>
                <w:color w:val="2B2F38"/>
                <w:sz w:val="19"/>
              </w:rPr>
              <w:t>________</w:t>
            </w:r>
          </w:p>
        </w:tc>
      </w:tr>
    </w:tbl>
    <w:p>
      <w:pPr>
        <w:keepNext w:val="0"/>
        <w:spacing w:after="60" w:before="0" w:line="274" w:lineRule="auto"/>
      </w:pPr>
    </w:p>
    <w:sectPr w:rsidR="00FC693F" w:rsidRPr="0006063C" w:rsidSect="00034616">
      <w:footerReference w:type="default" r:id="rId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Calibri" w:hAnsi="Calibri"/>
        <w:color w:val="5B6472"/>
        <w:sz w:val="15"/>
      </w:rPr>
      <w:t xml:space="preserve">Internal · Confidential — Acme Corp synthetic demo data. Fictional; not for real decision-making.     </w:t>
    </w:r>
    <w:r>
      <w:rPr>
        <w:rFonts w:ascii="Calibri" w:hAnsi="Calibri"/>
        <w:b/>
        <w:color w:val="5B6472"/>
        <w:sz w:val="15"/>
      </w:rPr>
      <w:t>FY27 AOP narrative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2B2F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FY2027 Annual Operating Plan — Narrative and Assumptions</dc:title>
  <dc:subject/>
  <dc:creator>Acme Corp (synthetic)</dc:creator>
  <cp:keywords/>
  <dc:description>Internal planning document</dc:description>
  <cp:lastModifiedBy/>
  <cp:revision>1</cp:revision>
  <dcterms:created xsi:type="dcterms:W3CDTF">2013-12-23T23:15:00Z</dcterms:created>
  <dcterms:modified xsi:type="dcterms:W3CDTF">2013-12-23T23:15:00Z</dcterms:modified>
  <cp:category/>
</cp:coreProperties>
</file>