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POLICY DOCUMENT · REVENUE GROWTH MANAGEMENT</w:t>
      </w:r>
    </w:p>
    <w:p>
      <w:pPr>
        <w:keepNext w:val="0"/>
        <w:spacing w:after="120" w:before="0" w:line="259" w:lineRule="auto"/>
      </w:pPr>
      <w:r>
        <w:rPr>
          <w:rFonts w:ascii="Calibri" w:hAnsi="Calibri"/>
          <w:b/>
          <w:i w:val="0"/>
          <w:color w:val="1F2A44"/>
          <w:sz w:val="46"/>
        </w:rPr>
        <w:t>FY2027 Price-Pack Architecture and Trade Guardrails</w:t>
      </w:r>
    </w:p>
    <w:p>
      <w:pPr>
        <w:keepNext w:val="0"/>
        <w:spacing w:after="160" w:before="0" w:line="288" w:lineRule="auto"/>
      </w:pPr>
      <w:r>
        <w:rPr>
          <w:rFonts w:ascii="Calibri" w:hAnsi="Calibri"/>
          <w:b w:val="0"/>
          <w:i w:val="0"/>
          <w:color w:val="5B6472"/>
          <w:sz w:val="26"/>
        </w:rPr>
        <w:t>The rules that govern everyday price, pack ladder and promotional depth from August 2026</w:t>
      </w:r>
    </w:p>
    <w:p>
      <w:pPr>
        <w:spacing w:after="120"/>
        <w:pBdr>
          <w:bottom w:val="single" w:sz="6" w:space="1" w:color="C9D2DB"/>
        </w:pBdr>
      </w:pPr>
    </w:p>
    <w:p>
      <w:pPr>
        <w:keepNext w:val="0"/>
        <w:spacing w:after="40" w:before="0" w:line="274" w:lineRule="auto"/>
      </w:pPr>
      <w:r>
        <w:rPr>
          <w:rFonts w:ascii="Calibri" w:hAnsi="Calibri"/>
          <w:b/>
          <w:i w:val="0"/>
          <w:color w:val="5B6472"/>
          <w:sz w:val="20"/>
        </w:rPr>
        <w:t>RGM Lead with Trade Finance, approved by the CFO</w:t>
      </w:r>
    </w:p>
    <w:p>
      <w:pPr>
        <w:keepNext w:val="0"/>
        <w:spacing w:after="20" w:before="0" w:line="274" w:lineRule="auto"/>
      </w:pPr>
      <w:r>
        <w:rPr>
          <w:rFonts w:ascii="Calibri" w:hAnsi="Calibri"/>
          <w:b w:val="0"/>
          <w:i w:val="0"/>
          <w:color w:val="5B6472"/>
          <w:sz w:val="19"/>
        </w:rPr>
        <w:t>Effective: August 1 2026</w:t>
      </w:r>
    </w:p>
    <w:p>
      <w:pPr>
        <w:keepNext w:val="0"/>
        <w:spacing w:after="20" w:before="0" w:line="274" w:lineRule="auto"/>
      </w:pPr>
      <w:r>
        <w:rPr>
          <w:rFonts w:ascii="Calibri" w:hAnsi="Calibri"/>
          <w:b w:val="0"/>
          <w:i w:val="0"/>
          <w:color w:val="5B6472"/>
          <w:sz w:val="19"/>
        </w:rPr>
        <w:t>Applies to: all brands, all customers, North America</w:t>
      </w:r>
    </w:p>
    <w:p>
      <w:pPr>
        <w:keepNext w:val="0"/>
        <w:spacing w:after="20" w:before="0" w:line="274" w:lineRule="auto"/>
      </w:pPr>
      <w:r>
        <w:rPr>
          <w:rFonts w:ascii="Calibri" w:hAnsi="Calibri"/>
          <w:b w:val="0"/>
          <w:i w:val="0"/>
          <w:color w:val="5B6472"/>
          <w:sz w:val="19"/>
        </w:rPr>
        <w:t>Companion deck: Report 45</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policy document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0.45</w:t>
            </w:r>
          </w:p>
          <w:p>
            <w:pPr>
              <w:spacing w:after="40"/>
            </w:pPr>
            <w:r>
              <w:rPr>
                <w:rFonts w:ascii="Calibri" w:hAnsi="Calibri"/>
                <w:b/>
                <w:i w:val="0"/>
                <w:color w:val="5B6472"/>
                <w:sz w:val="16"/>
              </w:rPr>
              <w:t>MINIMUM EVENT INDEX</w:t>
            </w:r>
          </w:p>
        </w:tc>
        <w:tc>
          <w:tcPr>
            <w:tcW w:type="dxa" w:w="2376"/>
            <w:shd w:val="clear" w:color="auto" w:fill="F5F7F9"/>
          </w:tcPr>
          <w:p>
            <w:pPr>
              <w:spacing w:after="40"/>
            </w:pPr>
            <w:r>
              <w:rPr>
                <w:rFonts w:ascii="Calibri" w:hAnsi="Calibri"/>
                <w:b/>
                <w:i w:val="0"/>
                <w:color w:val="1F2A44"/>
                <w:sz w:val="34"/>
              </w:rPr>
              <w:t>20%</w:t>
            </w:r>
          </w:p>
          <w:p>
            <w:pPr>
              <w:spacing w:after="40"/>
            </w:pPr>
            <w:r>
              <w:rPr>
                <w:rFonts w:ascii="Calibri" w:hAnsi="Calibri"/>
                <w:b/>
                <w:i w:val="0"/>
                <w:color w:val="5B6472"/>
                <w:sz w:val="16"/>
              </w:rPr>
              <w:t>MEGA DEPTH CAP</w:t>
            </w:r>
          </w:p>
        </w:tc>
        <w:tc>
          <w:tcPr>
            <w:tcW w:type="dxa" w:w="2376"/>
            <w:shd w:val="clear" w:color="auto" w:fill="F5F7F9"/>
          </w:tcPr>
          <w:p>
            <w:pPr>
              <w:spacing w:after="40"/>
            </w:pPr>
            <w:r>
              <w:rPr>
                <w:rFonts w:ascii="Calibri" w:hAnsi="Calibri"/>
                <w:b/>
                <w:i w:val="0"/>
                <w:color w:val="1F2A44"/>
                <w:sz w:val="34"/>
              </w:rPr>
              <w:t>0.51</w:t>
            </w:r>
          </w:p>
          <w:p>
            <w:pPr>
              <w:spacing w:after="40"/>
            </w:pPr>
            <w:r>
              <w:rPr>
                <w:rFonts w:ascii="Calibri" w:hAnsi="Calibri"/>
                <w:b/>
                <w:i w:val="0"/>
                <w:color w:val="5B6472"/>
                <w:sz w:val="16"/>
              </w:rPr>
              <w:t>PORTFOLIO INDEX TODAY</w:t>
            </w:r>
          </w:p>
        </w:tc>
        <w:tc>
          <w:tcPr>
            <w:tcW w:type="dxa" w:w="2376"/>
            <w:shd w:val="clear" w:color="auto" w:fill="F5F7F9"/>
          </w:tcPr>
          <w:p>
            <w:pPr>
              <w:spacing w:after="40"/>
            </w:pPr>
            <w:r>
              <w:rPr>
                <w:rFonts w:ascii="Calibri" w:hAnsi="Calibri"/>
                <w:b/>
                <w:i w:val="0"/>
                <w:color w:val="1F2A44"/>
                <w:sz w:val="34"/>
              </w:rPr>
              <w:t>0.60</w:t>
            </w:r>
          </w:p>
          <w:p>
            <w:pPr>
              <w:spacing w:after="40"/>
            </w:pPr>
            <w:r>
              <w:rPr>
                <w:rFonts w:ascii="Calibri" w:hAnsi="Calibri"/>
                <w:b/>
                <w:i w:val="0"/>
                <w:color w:val="5B6472"/>
                <w:sz w:val="16"/>
              </w:rPr>
              <w:t>FY27 TARGET</w:t>
            </w:r>
          </w:p>
        </w:tc>
      </w:tr>
    </w:tbl>
    <w:p>
      <w:pPr>
        <w:keepNext w:val="0"/>
        <w:spacing w:after="80" w:before="0" w:line="274" w:lineRule="auto"/>
      </w:pPr>
    </w:p>
    <w:p>
      <w:pPr>
        <w:keepNext/>
        <w:spacing w:after="40" w:before="240" w:line="274" w:lineRule="auto"/>
      </w:pPr>
      <w:r>
        <w:rPr>
          <w:rFonts w:ascii="Calibri" w:hAnsi="Calibri"/>
          <w:b/>
          <w:i w:val="0"/>
          <w:color w:val="2E7D75"/>
          <w:sz w:val="18"/>
        </w:rPr>
        <w:t>PURPOSE</w:t>
      </w:r>
    </w:p>
    <w:p>
      <w:pPr>
        <w:keepNext/>
        <w:spacing w:after="100" w:before="0" w:line="274" w:lineRule="auto"/>
      </w:pPr>
      <w:r>
        <w:rPr>
          <w:rFonts w:ascii="Calibri" w:hAnsi="Calibri"/>
          <w:b/>
          <w:i w:val="0"/>
          <w:color w:val="1F2A44"/>
          <w:sz w:val="31"/>
        </w:rPr>
        <w:t>1 · Why this policy exists</w:t>
      </w:r>
    </w:p>
    <w:p>
      <w:pPr>
        <w:keepNext w:val="0"/>
        <w:spacing w:after="120" w:before="0" w:line="274" w:lineRule="auto"/>
      </w:pPr>
      <w:r>
        <w:rPr>
          <w:rFonts w:ascii="Calibri" w:hAnsi="Calibri"/>
          <w:b w:val="0"/>
          <w:i w:val="0"/>
          <w:color w:val="2B2F38"/>
          <w:sz w:val="21"/>
        </w:rPr>
        <w:t>Acme spends approximately $147M a year on trade promotion. In Q1 FY2026 we ran 43 events costing $11.6M and generating $10.9M of modelled incremental revenue — an incrementality index of 0.52. Roughly half of the volume we paid to move would have moved anyway.</w:t>
      </w:r>
    </w:p>
    <w:p>
      <w:pPr>
        <w:keepNext w:val="0"/>
        <w:spacing w:after="120" w:before="0" w:line="274" w:lineRule="auto"/>
      </w:pPr>
      <w:r>
        <w:rPr>
          <w:rFonts w:ascii="Calibri" w:hAnsi="Calibri"/>
          <w:b w:val="0"/>
          <w:i w:val="0"/>
          <w:color w:val="2B2F38"/>
          <w:sz w:val="21"/>
        </w:rPr>
        <w:t>The pattern behind that number is consistent: our most elastic packs are the ones we discount hardest. Crunchwell Original Mega 18oz at Rouses carries an elasticity of -2.12. Deep, frequent discounting on that pack buys volume at a permanent cost to the reference price, which is the mechanism behind the Louisiana base erosion. This policy sets guardrails so that mechanism stops.</w:t>
      </w:r>
    </w:p>
    <w:p>
      <w:pPr>
        <w:keepNext/>
        <w:spacing w:after="40" w:before="240" w:line="274" w:lineRule="auto"/>
      </w:pPr>
      <w:r>
        <w:rPr>
          <w:rFonts w:ascii="Calibri" w:hAnsi="Calibri"/>
          <w:b/>
          <w:i w:val="0"/>
          <w:color w:val="2E7D75"/>
          <w:sz w:val="18"/>
        </w:rPr>
        <w:t>THE LADDER</w:t>
      </w:r>
    </w:p>
    <w:p>
      <w:pPr>
        <w:keepNext/>
        <w:spacing w:after="100" w:before="0" w:line="274" w:lineRule="auto"/>
      </w:pPr>
      <w:r>
        <w:rPr>
          <w:rFonts w:ascii="Calibri" w:hAnsi="Calibri"/>
          <w:b/>
          <w:i w:val="0"/>
          <w:color w:val="1F2A44"/>
          <w:sz w:val="31"/>
        </w:rPr>
        <w:t>2 · Everyday price and pack architecture</w:t>
      </w:r>
    </w:p>
    <w:p>
      <w:pPr>
        <w:keepNext w:val="0"/>
        <w:spacing w:after="120" w:before="0" w:line="274" w:lineRule="auto"/>
      </w:pPr>
      <w:r>
        <w:rPr>
          <w:rFonts w:ascii="Calibri" w:hAnsi="Calibri"/>
          <w:b w:val="0"/>
          <w:i w:val="0"/>
          <w:color w:val="2B2F38"/>
          <w:sz w:val="21"/>
        </w:rPr>
        <w:t>The pack ladder defines the role of each pack and the everyday price that supports it. Everyday price is defended; promotion happens around it, not instead of it.</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661"/>
        <w:gridCol w:w="1616"/>
        <w:gridCol w:w="1521"/>
        <w:gridCol w:w="1331"/>
        <w:gridCol w:w="2376"/>
      </w:tblGrid>
      <w:tr>
        <w:tc>
          <w:tcPr>
            <w:tcW w:type="dxa" w:w="2661"/>
            <w:shd w:val="clear" w:color="auto" w:fill="1F2A44"/>
          </w:tcPr>
          <w:p>
            <w:pPr>
              <w:spacing w:after="20"/>
            </w:pPr>
            <w:r>
              <w:rPr>
                <w:rFonts w:ascii="Calibri" w:hAnsi="Calibri"/>
                <w:b/>
                <w:i w:val="0"/>
                <w:color w:val="FFFFFF"/>
                <w:sz w:val="17"/>
              </w:rPr>
              <w:t>Pack</w:t>
            </w:r>
          </w:p>
        </w:tc>
        <w:tc>
          <w:tcPr>
            <w:tcW w:type="dxa" w:w="1616"/>
            <w:shd w:val="clear" w:color="auto" w:fill="1F2A44"/>
          </w:tcPr>
          <w:p>
            <w:pPr>
              <w:spacing w:after="20"/>
            </w:pPr>
            <w:r>
              <w:rPr>
                <w:rFonts w:ascii="Calibri" w:hAnsi="Calibri"/>
                <w:b/>
                <w:i w:val="0"/>
                <w:color w:val="FFFFFF"/>
                <w:sz w:val="17"/>
              </w:rPr>
              <w:t>Role</w:t>
            </w:r>
          </w:p>
        </w:tc>
        <w:tc>
          <w:tcPr>
            <w:tcW w:type="dxa" w:w="1521"/>
            <w:shd w:val="clear" w:color="auto" w:fill="1F2A44"/>
          </w:tcPr>
          <w:p>
            <w:pPr>
              <w:spacing w:after="20"/>
              <w:jc w:val="right"/>
            </w:pPr>
            <w:r>
              <w:rPr>
                <w:rFonts w:ascii="Calibri" w:hAnsi="Calibri"/>
                <w:b/>
                <w:i w:val="0"/>
                <w:color w:val="FFFFFF"/>
                <w:sz w:val="17"/>
              </w:rPr>
              <w:t>Everyday price</w:t>
            </w:r>
          </w:p>
        </w:tc>
        <w:tc>
          <w:tcPr>
            <w:tcW w:type="dxa" w:w="1331"/>
            <w:shd w:val="clear" w:color="auto" w:fill="1F2A44"/>
          </w:tcPr>
          <w:p>
            <w:pPr>
              <w:spacing w:after="20"/>
              <w:jc w:val="right"/>
            </w:pPr>
            <w:r>
              <w:rPr>
                <w:rFonts w:ascii="Calibri" w:hAnsi="Calibri"/>
                <w:b/>
                <w:i w:val="0"/>
                <w:color w:val="FFFFFF"/>
                <w:sz w:val="17"/>
              </w:rPr>
              <w:t>Max depth</w:t>
            </w:r>
          </w:p>
        </w:tc>
        <w:tc>
          <w:tcPr>
            <w:tcW w:type="dxa" w:w="2376"/>
            <w:shd w:val="clear" w:color="auto" w:fill="1F2A44"/>
          </w:tcPr>
          <w:p>
            <w:pPr>
              <w:spacing w:after="20"/>
              <w:jc w:val="right"/>
            </w:pPr>
            <w:r>
              <w:rPr>
                <w:rFonts w:ascii="Calibri" w:hAnsi="Calibri"/>
                <w:b/>
                <w:i w:val="0"/>
                <w:color w:val="FFFFFF"/>
                <w:sz w:val="17"/>
              </w:rPr>
              <w:t>Events per year</w:t>
            </w:r>
          </w:p>
        </w:tc>
      </w:tr>
      <w:tr>
        <w:tc>
          <w:tcPr>
            <w:tcW w:type="dxa" w:w="2661"/>
            <w:shd w:val="clear" w:color="auto" w:fill="FFFFFF"/>
          </w:tcPr>
          <w:p>
            <w:pPr>
              <w:spacing w:after="20"/>
            </w:pPr>
            <w:r>
              <w:rPr>
                <w:rFonts w:ascii="Calibri" w:hAnsi="Calibri"/>
                <w:b w:val="0"/>
                <w:i w:val="0"/>
                <w:color w:val="2B2F38"/>
                <w:sz w:val="18"/>
              </w:rPr>
              <w:t>Crunchwell 13oz Multigrain</w:t>
            </w:r>
          </w:p>
        </w:tc>
        <w:tc>
          <w:tcPr>
            <w:tcW w:type="dxa" w:w="1616"/>
            <w:shd w:val="clear" w:color="auto" w:fill="FFFFFF"/>
          </w:tcPr>
          <w:p>
            <w:pPr>
              <w:spacing w:after="20"/>
            </w:pPr>
            <w:r>
              <w:rPr>
                <w:rFonts w:ascii="Calibri" w:hAnsi="Calibri"/>
                <w:b w:val="0"/>
                <w:i w:val="0"/>
                <w:color w:val="2B2F38"/>
                <w:sz w:val="18"/>
              </w:rPr>
              <w:t>Entry / trial</w:t>
            </w:r>
          </w:p>
        </w:tc>
        <w:tc>
          <w:tcPr>
            <w:tcW w:type="dxa" w:w="1521"/>
            <w:shd w:val="clear" w:color="auto" w:fill="FFFFFF"/>
          </w:tcPr>
          <w:p>
            <w:pPr>
              <w:spacing w:after="20"/>
              <w:jc w:val="right"/>
            </w:pPr>
            <w:r>
              <w:rPr>
                <w:rFonts w:ascii="Calibri" w:hAnsi="Calibri"/>
                <w:b w:val="0"/>
                <w:i w:val="0"/>
                <w:color w:val="2B2F38"/>
                <w:sz w:val="18"/>
              </w:rPr>
              <w:t>$4.49</w:t>
            </w:r>
          </w:p>
        </w:tc>
        <w:tc>
          <w:tcPr>
            <w:tcW w:type="dxa" w:w="1331"/>
            <w:shd w:val="clear" w:color="auto" w:fill="FFFFFF"/>
          </w:tcPr>
          <w:p>
            <w:pPr>
              <w:spacing w:after="20"/>
              <w:jc w:val="right"/>
            </w:pPr>
            <w:r>
              <w:rPr>
                <w:rFonts w:ascii="Calibri" w:hAnsi="Calibri"/>
                <w:b w:val="0"/>
                <w:i w:val="0"/>
                <w:color w:val="2B2F38"/>
                <w:sz w:val="18"/>
              </w:rPr>
              <w:t>15%</w:t>
            </w:r>
          </w:p>
        </w:tc>
        <w:tc>
          <w:tcPr>
            <w:tcW w:type="dxa" w:w="2376"/>
            <w:shd w:val="clear" w:color="auto" w:fill="FFFFFF"/>
          </w:tcPr>
          <w:p>
            <w:pPr>
              <w:spacing w:after="20"/>
              <w:jc w:val="right"/>
            </w:pPr>
            <w:r>
              <w:rPr>
                <w:rFonts w:ascii="Calibri" w:hAnsi="Calibri"/>
                <w:b w:val="0"/>
                <w:i w:val="0"/>
                <w:color w:val="2B2F38"/>
                <w:sz w:val="18"/>
              </w:rPr>
              <w:t>2</w:t>
            </w:r>
          </w:p>
        </w:tc>
      </w:tr>
      <w:tr>
        <w:tc>
          <w:tcPr>
            <w:tcW w:type="dxa" w:w="2661"/>
            <w:shd w:val="clear" w:color="auto" w:fill="F5F7F9"/>
          </w:tcPr>
          <w:p>
            <w:pPr>
              <w:spacing w:after="20"/>
            </w:pPr>
            <w:r>
              <w:rPr>
                <w:rFonts w:ascii="Calibri" w:hAnsi="Calibri"/>
                <w:b w:val="0"/>
                <w:i w:val="0"/>
                <w:color w:val="2B2F38"/>
                <w:sz w:val="18"/>
              </w:rPr>
              <w:t>Crunchwell 14oz hero (post-refresh)</w:t>
            </w:r>
          </w:p>
        </w:tc>
        <w:tc>
          <w:tcPr>
            <w:tcW w:type="dxa" w:w="1616"/>
            <w:shd w:val="clear" w:color="auto" w:fill="F5F7F9"/>
          </w:tcPr>
          <w:p>
            <w:pPr>
              <w:spacing w:after="20"/>
            </w:pPr>
            <w:r>
              <w:rPr>
                <w:rFonts w:ascii="Calibri" w:hAnsi="Calibri"/>
                <w:b w:val="0"/>
                <w:i w:val="0"/>
                <w:color w:val="2B2F38"/>
                <w:sz w:val="18"/>
              </w:rPr>
              <w:t>Core volume</w:t>
            </w:r>
          </w:p>
        </w:tc>
        <w:tc>
          <w:tcPr>
            <w:tcW w:type="dxa" w:w="1521"/>
            <w:shd w:val="clear" w:color="auto" w:fill="F5F7F9"/>
          </w:tcPr>
          <w:p>
            <w:pPr>
              <w:spacing w:after="20"/>
              <w:jc w:val="right"/>
            </w:pPr>
            <w:r>
              <w:rPr>
                <w:rFonts w:ascii="Calibri" w:hAnsi="Calibri"/>
                <w:b w:val="0"/>
                <w:i w:val="0"/>
                <w:color w:val="2B2F38"/>
                <w:sz w:val="18"/>
              </w:rPr>
              <w:t>$4.49</w:t>
            </w:r>
          </w:p>
        </w:tc>
        <w:tc>
          <w:tcPr>
            <w:tcW w:type="dxa" w:w="1331"/>
            <w:shd w:val="clear" w:color="auto" w:fill="F5F7F9"/>
          </w:tcPr>
          <w:p>
            <w:pPr>
              <w:spacing w:after="20"/>
              <w:jc w:val="right"/>
            </w:pPr>
            <w:r>
              <w:rPr>
                <w:rFonts w:ascii="Calibri" w:hAnsi="Calibri"/>
                <w:b w:val="0"/>
                <w:i w:val="0"/>
                <w:color w:val="2B2F38"/>
                <w:sz w:val="18"/>
              </w:rPr>
              <w:t>20%</w:t>
            </w:r>
          </w:p>
        </w:tc>
        <w:tc>
          <w:tcPr>
            <w:tcW w:type="dxa" w:w="2376"/>
            <w:shd w:val="clear" w:color="auto" w:fill="F5F7F9"/>
          </w:tcPr>
          <w:p>
            <w:pPr>
              <w:spacing w:after="20"/>
              <w:jc w:val="right"/>
            </w:pPr>
            <w:r>
              <w:rPr>
                <w:rFonts w:ascii="Calibri" w:hAnsi="Calibri"/>
                <w:b w:val="0"/>
                <w:i w:val="0"/>
                <w:color w:val="2B2F38"/>
                <w:sz w:val="18"/>
              </w:rPr>
              <w:t>4</w:t>
            </w:r>
          </w:p>
        </w:tc>
      </w:tr>
      <w:tr>
        <w:tc>
          <w:tcPr>
            <w:tcW w:type="dxa" w:w="2661"/>
            <w:shd w:val="clear" w:color="auto" w:fill="FFFFFF"/>
          </w:tcPr>
          <w:p>
            <w:pPr>
              <w:spacing w:after="20"/>
            </w:pPr>
            <w:r>
              <w:rPr>
                <w:rFonts w:ascii="Calibri" w:hAnsi="Calibri"/>
                <w:b w:val="0"/>
                <w:i w:val="0"/>
                <w:color w:val="2B2F38"/>
                <w:sz w:val="18"/>
              </w:rPr>
              <w:t>Crunchwell 18oz Mega</w:t>
            </w:r>
          </w:p>
        </w:tc>
        <w:tc>
          <w:tcPr>
            <w:tcW w:type="dxa" w:w="1616"/>
            <w:shd w:val="clear" w:color="auto" w:fill="FFFFFF"/>
          </w:tcPr>
          <w:p>
            <w:pPr>
              <w:spacing w:after="20"/>
            </w:pPr>
            <w:r>
              <w:rPr>
                <w:rFonts w:ascii="Calibri" w:hAnsi="Calibri"/>
                <w:b w:val="0"/>
                <w:i w:val="0"/>
                <w:color w:val="2B2F38"/>
                <w:sz w:val="18"/>
              </w:rPr>
              <w:t>Value / pantry</w:t>
            </w:r>
          </w:p>
        </w:tc>
        <w:tc>
          <w:tcPr>
            <w:tcW w:type="dxa" w:w="1521"/>
            <w:shd w:val="clear" w:color="auto" w:fill="FFFFFF"/>
          </w:tcPr>
          <w:p>
            <w:pPr>
              <w:spacing w:after="20"/>
              <w:jc w:val="right"/>
            </w:pPr>
            <w:r>
              <w:rPr>
                <w:rFonts w:ascii="Calibri" w:hAnsi="Calibri"/>
                <w:b w:val="0"/>
                <w:i w:val="0"/>
                <w:color w:val="2B2F38"/>
                <w:sz w:val="18"/>
              </w:rPr>
              <w:t>$5.49</w:t>
            </w:r>
          </w:p>
        </w:tc>
        <w:tc>
          <w:tcPr>
            <w:tcW w:type="dxa" w:w="1331"/>
            <w:shd w:val="clear" w:color="auto" w:fill="FFFFFF"/>
          </w:tcPr>
          <w:p>
            <w:pPr>
              <w:spacing w:after="20"/>
              <w:jc w:val="right"/>
            </w:pPr>
            <w:r>
              <w:rPr>
                <w:rFonts w:ascii="Calibri" w:hAnsi="Calibri"/>
                <w:b w:val="0"/>
                <w:i w:val="0"/>
                <w:color w:val="2B2F38"/>
                <w:sz w:val="18"/>
              </w:rPr>
              <w:t>20%</w:t>
            </w:r>
          </w:p>
        </w:tc>
        <w:tc>
          <w:tcPr>
            <w:tcW w:type="dxa" w:w="2376"/>
            <w:shd w:val="clear" w:color="auto" w:fill="FFFFFF"/>
          </w:tcPr>
          <w:p>
            <w:pPr>
              <w:spacing w:after="20"/>
              <w:jc w:val="right"/>
            </w:pPr>
            <w:r>
              <w:rPr>
                <w:rFonts w:ascii="Calibri" w:hAnsi="Calibri"/>
                <w:b w:val="0"/>
                <w:i w:val="0"/>
                <w:color w:val="2B2F38"/>
                <w:sz w:val="18"/>
              </w:rPr>
              <w:t>3</w:t>
            </w:r>
          </w:p>
        </w:tc>
      </w:tr>
      <w:tr>
        <w:tc>
          <w:tcPr>
            <w:tcW w:type="dxa" w:w="2661"/>
            <w:shd w:val="clear" w:color="auto" w:fill="F5F7F9"/>
          </w:tcPr>
          <w:p>
            <w:pPr>
              <w:spacing w:after="20"/>
            </w:pPr>
            <w:r>
              <w:rPr>
                <w:rFonts w:ascii="Calibri" w:hAnsi="Calibri"/>
                <w:b w:val="0"/>
                <w:i w:val="0"/>
                <w:color w:val="2B2F38"/>
                <w:sz w:val="18"/>
              </w:rPr>
              <w:t>Crunchwell 36oz Mega Family (2027-Q1)</w:t>
            </w:r>
          </w:p>
        </w:tc>
        <w:tc>
          <w:tcPr>
            <w:tcW w:type="dxa" w:w="1616"/>
            <w:shd w:val="clear" w:color="auto" w:fill="F5F7F9"/>
          </w:tcPr>
          <w:p>
            <w:pPr>
              <w:spacing w:after="20"/>
            </w:pPr>
            <w:r>
              <w:rPr>
                <w:rFonts w:ascii="Calibri" w:hAnsi="Calibri"/>
                <w:b w:val="0"/>
                <w:i w:val="0"/>
                <w:color w:val="2B2F38"/>
                <w:sz w:val="18"/>
              </w:rPr>
              <w:t>Value ceiling</w:t>
            </w:r>
          </w:p>
        </w:tc>
        <w:tc>
          <w:tcPr>
            <w:tcW w:type="dxa" w:w="1521"/>
            <w:shd w:val="clear" w:color="auto" w:fill="F5F7F9"/>
          </w:tcPr>
          <w:p>
            <w:pPr>
              <w:spacing w:after="20"/>
              <w:jc w:val="right"/>
            </w:pPr>
            <w:r>
              <w:rPr>
                <w:rFonts w:ascii="Calibri" w:hAnsi="Calibri"/>
                <w:b w:val="0"/>
                <w:i w:val="0"/>
                <w:color w:val="2B2F38"/>
                <w:sz w:val="18"/>
              </w:rPr>
              <w:t>$8.99 target</w:t>
            </w:r>
          </w:p>
        </w:tc>
        <w:tc>
          <w:tcPr>
            <w:tcW w:type="dxa" w:w="1331"/>
            <w:shd w:val="clear" w:color="auto" w:fill="F5F7F9"/>
          </w:tcPr>
          <w:p>
            <w:pPr>
              <w:spacing w:after="20"/>
              <w:jc w:val="right"/>
            </w:pPr>
            <w:r>
              <w:rPr>
                <w:rFonts w:ascii="Calibri" w:hAnsi="Calibri"/>
                <w:b w:val="0"/>
                <w:i w:val="0"/>
                <w:color w:val="2B2F38"/>
                <w:sz w:val="18"/>
              </w:rPr>
              <w:t>Launch support only</w:t>
            </w:r>
          </w:p>
        </w:tc>
        <w:tc>
          <w:tcPr>
            <w:tcW w:type="dxa" w:w="2376"/>
            <w:shd w:val="clear" w:color="auto" w:fill="F5F7F9"/>
          </w:tcPr>
          <w:p>
            <w:pPr>
              <w:spacing w:after="20"/>
              <w:jc w:val="right"/>
            </w:pPr>
            <w:r>
              <w:rPr>
                <w:rFonts w:ascii="Calibri" w:hAnsi="Calibri"/>
                <w:b w:val="0"/>
                <w:i w:val="0"/>
                <w:color w:val="2B2F38"/>
                <w:sz w:val="18"/>
              </w:rPr>
              <w:t>1</w:t>
            </w:r>
          </w:p>
        </w:tc>
      </w:tr>
      <w:tr>
        <w:tc>
          <w:tcPr>
            <w:tcW w:type="dxa" w:w="2661"/>
            <w:shd w:val="clear" w:color="auto" w:fill="FFFFFF"/>
          </w:tcPr>
          <w:p>
            <w:pPr>
              <w:spacing w:after="20"/>
            </w:pPr>
            <w:r>
              <w:rPr>
                <w:rFonts w:ascii="Calibri" w:hAnsi="Calibri"/>
                <w:b w:val="0"/>
                <w:i w:val="0"/>
                <w:color w:val="2B2F38"/>
                <w:sz w:val="18"/>
              </w:rPr>
              <w:t>ProteinPeak 12oz</w:t>
            </w:r>
          </w:p>
        </w:tc>
        <w:tc>
          <w:tcPr>
            <w:tcW w:type="dxa" w:w="1616"/>
            <w:shd w:val="clear" w:color="auto" w:fill="FFFFFF"/>
          </w:tcPr>
          <w:p>
            <w:pPr>
              <w:spacing w:after="20"/>
            </w:pPr>
            <w:r>
              <w:rPr>
                <w:rFonts w:ascii="Calibri" w:hAnsi="Calibri"/>
                <w:b w:val="0"/>
                <w:i w:val="0"/>
                <w:color w:val="2B2F38"/>
                <w:sz w:val="18"/>
              </w:rPr>
              <w:t>Premium / growth</w:t>
            </w:r>
          </w:p>
        </w:tc>
        <w:tc>
          <w:tcPr>
            <w:tcW w:type="dxa" w:w="1521"/>
            <w:shd w:val="clear" w:color="auto" w:fill="FFFFFF"/>
          </w:tcPr>
          <w:p>
            <w:pPr>
              <w:spacing w:after="20"/>
              <w:jc w:val="right"/>
            </w:pPr>
            <w:r>
              <w:rPr>
                <w:rFonts w:ascii="Calibri" w:hAnsi="Calibri"/>
                <w:b w:val="0"/>
                <w:i w:val="0"/>
                <w:color w:val="2B2F38"/>
                <w:sz w:val="18"/>
              </w:rPr>
              <w:t>$7.49</w:t>
            </w:r>
          </w:p>
        </w:tc>
        <w:tc>
          <w:tcPr>
            <w:tcW w:type="dxa" w:w="1331"/>
            <w:shd w:val="clear" w:color="auto" w:fill="FFFFFF"/>
          </w:tcPr>
          <w:p>
            <w:pPr>
              <w:spacing w:after="20"/>
              <w:jc w:val="right"/>
            </w:pPr>
            <w:r>
              <w:rPr>
                <w:rFonts w:ascii="Calibri" w:hAnsi="Calibri"/>
                <w:b w:val="0"/>
                <w:i w:val="0"/>
                <w:color w:val="2B2F38"/>
                <w:sz w:val="18"/>
              </w:rPr>
              <w:t>10%</w:t>
            </w:r>
          </w:p>
        </w:tc>
        <w:tc>
          <w:tcPr>
            <w:tcW w:type="dxa" w:w="2376"/>
            <w:shd w:val="clear" w:color="auto" w:fill="FFFFFF"/>
          </w:tcPr>
          <w:p>
            <w:pPr>
              <w:spacing w:after="20"/>
              <w:jc w:val="right"/>
            </w:pPr>
            <w:r>
              <w:rPr>
                <w:rFonts w:ascii="Calibri" w:hAnsi="Calibri"/>
                <w:b w:val="0"/>
                <w:i w:val="0"/>
                <w:color w:val="2B2F38"/>
                <w:sz w:val="18"/>
              </w:rPr>
              <w:t>3</w:t>
            </w:r>
          </w:p>
        </w:tc>
      </w:tr>
      <w:tr>
        <w:tc>
          <w:tcPr>
            <w:tcW w:type="dxa" w:w="2661"/>
            <w:shd w:val="clear" w:color="auto" w:fill="F5F7F9"/>
          </w:tcPr>
          <w:p>
            <w:pPr>
              <w:spacing w:after="20"/>
            </w:pPr>
            <w:r>
              <w:rPr>
                <w:rFonts w:ascii="Calibri" w:hAnsi="Calibri"/>
                <w:b w:val="0"/>
                <w:i w:val="0"/>
                <w:color w:val="2B2F38"/>
                <w:sz w:val="18"/>
              </w:rPr>
              <w:t>ProteinPeak single-serve cup</w:t>
            </w:r>
          </w:p>
        </w:tc>
        <w:tc>
          <w:tcPr>
            <w:tcW w:type="dxa" w:w="1616"/>
            <w:shd w:val="clear" w:color="auto" w:fill="F5F7F9"/>
          </w:tcPr>
          <w:p>
            <w:pPr>
              <w:spacing w:after="20"/>
            </w:pPr>
            <w:r>
              <w:rPr>
                <w:rFonts w:ascii="Calibri" w:hAnsi="Calibri"/>
                <w:b w:val="0"/>
                <w:i w:val="0"/>
                <w:color w:val="2B2F38"/>
                <w:sz w:val="18"/>
              </w:rPr>
              <w:t>Convenience</w:t>
            </w:r>
          </w:p>
        </w:tc>
        <w:tc>
          <w:tcPr>
            <w:tcW w:type="dxa" w:w="1521"/>
            <w:shd w:val="clear" w:color="auto" w:fill="F5F7F9"/>
          </w:tcPr>
          <w:p>
            <w:pPr>
              <w:spacing w:after="20"/>
              <w:jc w:val="right"/>
            </w:pPr>
            <w:r>
              <w:rPr>
                <w:rFonts w:ascii="Calibri" w:hAnsi="Calibri"/>
                <w:b w:val="0"/>
                <w:i w:val="0"/>
                <w:color w:val="2B2F38"/>
                <w:sz w:val="18"/>
              </w:rPr>
              <w:t>$9.99</w:t>
            </w:r>
          </w:p>
        </w:tc>
        <w:tc>
          <w:tcPr>
            <w:tcW w:type="dxa" w:w="1331"/>
            <w:shd w:val="clear" w:color="auto" w:fill="F5F7F9"/>
          </w:tcPr>
          <w:p>
            <w:pPr>
              <w:spacing w:after="20"/>
              <w:jc w:val="right"/>
            </w:pPr>
            <w:r>
              <w:rPr>
                <w:rFonts w:ascii="Calibri" w:hAnsi="Calibri"/>
                <w:b w:val="0"/>
                <w:i w:val="0"/>
                <w:color w:val="2B2F38"/>
                <w:sz w:val="18"/>
              </w:rPr>
              <w:t>0%</w:t>
            </w:r>
          </w:p>
        </w:tc>
        <w:tc>
          <w:tcPr>
            <w:tcW w:type="dxa" w:w="2376"/>
            <w:shd w:val="clear" w:color="auto" w:fill="F5F7F9"/>
          </w:tcPr>
          <w:p>
            <w:pPr>
              <w:spacing w:after="20"/>
              <w:jc w:val="right"/>
            </w:pPr>
            <w:r>
              <w:rPr>
                <w:rFonts w:ascii="Calibri" w:hAnsi="Calibri"/>
                <w:b w:val="0"/>
                <w:i w:val="0"/>
                <w:color w:val="2B2F38"/>
                <w:sz w:val="18"/>
              </w:rPr>
              <w:t>0 (sampling instead)</w:t>
            </w:r>
          </w:p>
        </w:tc>
      </w:tr>
      <w:tr>
        <w:tc>
          <w:tcPr>
            <w:tcW w:type="dxa" w:w="2661"/>
            <w:shd w:val="clear" w:color="auto" w:fill="FFFFFF"/>
          </w:tcPr>
          <w:p>
            <w:pPr>
              <w:spacing w:after="20"/>
            </w:pPr>
            <w:r>
              <w:rPr>
                <w:rFonts w:ascii="Calibri" w:hAnsi="Calibri"/>
                <w:b w:val="0"/>
                <w:i w:val="0"/>
                <w:color w:val="2B2F38"/>
                <w:sz w:val="18"/>
              </w:rPr>
              <w:t>TrailGrove granola and bars</w:t>
            </w:r>
          </w:p>
        </w:tc>
        <w:tc>
          <w:tcPr>
            <w:tcW w:type="dxa" w:w="1616"/>
            <w:shd w:val="clear" w:color="auto" w:fill="FFFFFF"/>
          </w:tcPr>
          <w:p>
            <w:pPr>
              <w:spacing w:after="20"/>
            </w:pPr>
            <w:r>
              <w:rPr>
                <w:rFonts w:ascii="Calibri" w:hAnsi="Calibri"/>
                <w:b w:val="0"/>
                <w:i w:val="0"/>
                <w:color w:val="2B2F38"/>
                <w:sz w:val="18"/>
              </w:rPr>
              <w:t>Better-for-you volume</w:t>
            </w:r>
          </w:p>
        </w:tc>
        <w:tc>
          <w:tcPr>
            <w:tcW w:type="dxa" w:w="1521"/>
            <w:shd w:val="clear" w:color="auto" w:fill="FFFFFF"/>
          </w:tcPr>
          <w:p>
            <w:pPr>
              <w:spacing w:after="20"/>
              <w:jc w:val="right"/>
            </w:pPr>
            <w:r>
              <w:rPr>
                <w:rFonts w:ascii="Calibri" w:hAnsi="Calibri"/>
                <w:b w:val="0"/>
                <w:i w:val="0"/>
                <w:color w:val="2B2F38"/>
                <w:sz w:val="18"/>
              </w:rPr>
              <w:t>Per SKU</w:t>
            </w:r>
          </w:p>
        </w:tc>
        <w:tc>
          <w:tcPr>
            <w:tcW w:type="dxa" w:w="1331"/>
            <w:shd w:val="clear" w:color="auto" w:fill="FFFFFF"/>
          </w:tcPr>
          <w:p>
            <w:pPr>
              <w:spacing w:after="20"/>
              <w:jc w:val="right"/>
            </w:pPr>
            <w:r>
              <w:rPr>
                <w:rFonts w:ascii="Calibri" w:hAnsi="Calibri"/>
                <w:b w:val="0"/>
                <w:i w:val="0"/>
                <w:color w:val="2B2F38"/>
                <w:sz w:val="18"/>
              </w:rPr>
              <w:t>15%</w:t>
            </w:r>
          </w:p>
        </w:tc>
        <w:tc>
          <w:tcPr>
            <w:tcW w:type="dxa" w:w="2376"/>
            <w:shd w:val="clear" w:color="auto" w:fill="FFFFFF"/>
          </w:tcPr>
          <w:p>
            <w:pPr>
              <w:spacing w:after="20"/>
              <w:jc w:val="right"/>
            </w:pPr>
            <w:r>
              <w:rPr>
                <w:rFonts w:ascii="Calibri" w:hAnsi="Calibri"/>
                <w:b w:val="0"/>
                <w:i w:val="0"/>
                <w:color w:val="2B2F38"/>
                <w:sz w:val="18"/>
              </w:rPr>
              <w:t>4</w:t>
            </w:r>
          </w:p>
        </w:tc>
      </w:tr>
      <w:tr>
        <w:tc>
          <w:tcPr>
            <w:tcW w:type="dxa" w:w="2661"/>
            <w:shd w:val="clear" w:color="auto" w:fill="F5F7F9"/>
          </w:tcPr>
          <w:p>
            <w:pPr>
              <w:spacing w:after="20"/>
            </w:pPr>
            <w:r>
              <w:rPr>
                <w:rFonts w:ascii="Calibri" w:hAnsi="Calibri"/>
                <w:b w:val="0"/>
                <w:i w:val="0"/>
                <w:color w:val="2B2F38"/>
                <w:sz w:val="18"/>
              </w:rPr>
              <w:t>RootDay 64oz oat milk</w:t>
            </w:r>
          </w:p>
        </w:tc>
        <w:tc>
          <w:tcPr>
            <w:tcW w:type="dxa" w:w="1616"/>
            <w:shd w:val="clear" w:color="auto" w:fill="F5F7F9"/>
          </w:tcPr>
          <w:p>
            <w:pPr>
              <w:spacing w:after="20"/>
            </w:pPr>
            <w:r>
              <w:rPr>
                <w:rFonts w:ascii="Calibri" w:hAnsi="Calibri"/>
                <w:b w:val="0"/>
                <w:i w:val="0"/>
                <w:color w:val="2B2F38"/>
                <w:sz w:val="18"/>
              </w:rPr>
              <w:t>Growth adjacency</w:t>
            </w:r>
          </w:p>
        </w:tc>
        <w:tc>
          <w:tcPr>
            <w:tcW w:type="dxa" w:w="1521"/>
            <w:shd w:val="clear" w:color="auto" w:fill="F5F7F9"/>
          </w:tcPr>
          <w:p>
            <w:pPr>
              <w:spacing w:after="20"/>
              <w:jc w:val="right"/>
            </w:pPr>
            <w:r>
              <w:rPr>
                <w:rFonts w:ascii="Calibri" w:hAnsi="Calibri"/>
                <w:b w:val="0"/>
                <w:i w:val="0"/>
                <w:color w:val="2B2F38"/>
                <w:sz w:val="18"/>
              </w:rPr>
              <w:t>Per SKU</w:t>
            </w:r>
          </w:p>
        </w:tc>
        <w:tc>
          <w:tcPr>
            <w:tcW w:type="dxa" w:w="1331"/>
            <w:shd w:val="clear" w:color="auto" w:fill="F5F7F9"/>
          </w:tcPr>
          <w:p>
            <w:pPr>
              <w:spacing w:after="20"/>
              <w:jc w:val="right"/>
            </w:pPr>
            <w:r>
              <w:rPr>
                <w:rFonts w:ascii="Calibri" w:hAnsi="Calibri"/>
                <w:b w:val="0"/>
                <w:i w:val="0"/>
                <w:color w:val="2B2F38"/>
                <w:sz w:val="18"/>
              </w:rPr>
              <w:t>12%</w:t>
            </w:r>
          </w:p>
        </w:tc>
        <w:tc>
          <w:tcPr>
            <w:tcW w:type="dxa" w:w="2376"/>
            <w:shd w:val="clear" w:color="auto" w:fill="F5F7F9"/>
          </w:tcPr>
          <w:p>
            <w:pPr>
              <w:spacing w:after="20"/>
              <w:jc w:val="right"/>
            </w:pPr>
            <w:r>
              <w:rPr>
                <w:rFonts w:ascii="Calibri" w:hAnsi="Calibri"/>
                <w:b w:val="0"/>
                <w:i w:val="0"/>
                <w:color w:val="2B2F38"/>
                <w:sz w:val="18"/>
              </w:rPr>
              <w:t>3</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Everyday prices from seeds/skus.csv (avg_shelf_price_usd); 36oz Mega Family from seeds/innovation_pipeline.csv. Depth caps and event counts are the FY27 policy.</w:t>
      </w:r>
    </w:p>
    <w:p>
      <w:pPr>
        <w:spacing w:before="80" w:after="40"/>
      </w:pPr>
      <w:r>
        <w:drawing>
          <wp:inline xmlns:a="http://schemas.openxmlformats.org/drawingml/2006/main" xmlns:pic="http://schemas.openxmlformats.org/drawingml/2006/picture">
            <wp:extent cx="6035040" cy="2398204"/>
            <wp:docPr id="1" name="Picture 1"/>
            <wp:cNvGraphicFramePr>
              <a:graphicFrameLocks noChangeAspect="1"/>
            </wp:cNvGraphicFramePr>
            <a:graphic>
              <a:graphicData uri="http://schemas.openxmlformats.org/drawingml/2006/picture">
                <pic:pic>
                  <pic:nvPicPr>
                    <pic:cNvPr id="0" name="r64_elast.png"/>
                    <pic:cNvPicPr/>
                  </pic:nvPicPr>
                  <pic:blipFill>
                    <a:blip r:embed="rId10"/>
                    <a:stretch>
                      <a:fillRect/>
                    </a:stretch>
                  </pic:blipFill>
                  <pic:spPr>
                    <a:xfrm>
                      <a:off x="0" y="0"/>
                      <a:ext cx="6035040" cy="2398204"/>
                    </a:xfrm>
                    <a:prstGeom prst="rect"/>
                  </pic:spPr>
                </pic:pic>
              </a:graphicData>
            </a:graphic>
          </wp:inline>
        </w:drawing>
      </w:r>
    </w:p>
    <w:p>
      <w:pPr>
        <w:keepNext w:val="0"/>
        <w:spacing w:after="160" w:before="0" w:line="274" w:lineRule="auto"/>
      </w:pPr>
      <w:r>
        <w:rPr>
          <w:rFonts w:ascii="Calibri" w:hAnsi="Calibri"/>
          <w:b w:val="0"/>
          <w:i/>
          <w:color w:val="5B6472"/>
          <w:sz w:val="17"/>
        </w:rPr>
        <w:t>The packs we discount hardest are the most elastic — which is why depth erodes the base rather than building it.</w:t>
      </w:r>
    </w:p>
    <w:p>
      <w:pPr>
        <w:keepNext/>
        <w:spacing w:after="40" w:before="240" w:line="274" w:lineRule="auto"/>
      </w:pPr>
      <w:r>
        <w:rPr>
          <w:rFonts w:ascii="Calibri" w:hAnsi="Calibri"/>
          <w:b/>
          <w:i w:val="0"/>
          <w:color w:val="2E7D75"/>
          <w:sz w:val="18"/>
        </w:rPr>
        <w:t>GUARDRAILS</w:t>
      </w:r>
    </w:p>
    <w:p>
      <w:pPr>
        <w:keepNext/>
        <w:spacing w:after="100" w:before="0" w:line="274" w:lineRule="auto"/>
      </w:pPr>
      <w:r>
        <w:rPr>
          <w:rFonts w:ascii="Calibri" w:hAnsi="Calibri"/>
          <w:b/>
          <w:i w:val="0"/>
          <w:color w:val="1F2A44"/>
          <w:sz w:val="31"/>
        </w:rPr>
        <w:t>3 · The five rules</w:t>
      </w:r>
    </w:p>
    <w:p>
      <w:pPr>
        <w:pStyle w:val="ListBullet"/>
        <w:spacing w:after="80" w:line="274" w:lineRule="auto"/>
        <w:ind w:left="403" w:hanging="230"/>
      </w:pPr>
      <w:r>
        <w:rPr>
          <w:rFonts w:ascii="Calibri" w:hAnsi="Calibri"/>
          <w:b/>
          <w:i w:val="0"/>
          <w:color w:val="2B2F38"/>
          <w:sz w:val="21"/>
        </w:rPr>
        <w:t>Rule 1 — the 0.45 floor.</w:t>
      </w:r>
      <w:r>
        <w:rPr>
          <w:rFonts w:ascii="Calibri" w:hAnsi="Calibri"/>
          <w:b w:val="0"/>
          <w:i w:val="0"/>
          <w:color w:val="2B2F38"/>
          <w:sz w:val="21"/>
        </w:rPr>
        <w:t xml:space="preserve"> No new promoted event may be approved with a modelled incrementality index below 0.45, unless it is defending a specific distribution commitment documented in the customer plan.</w:t>
      </w:r>
    </w:p>
    <w:p>
      <w:pPr>
        <w:pStyle w:val="ListBullet"/>
        <w:spacing w:after="80" w:line="274" w:lineRule="auto"/>
        <w:ind w:left="403" w:hanging="230"/>
      </w:pPr>
      <w:r>
        <w:rPr>
          <w:rFonts w:ascii="Calibri" w:hAnsi="Calibri"/>
          <w:b/>
          <w:i w:val="0"/>
          <w:color w:val="2B2F38"/>
          <w:sz w:val="21"/>
        </w:rPr>
        <w:t>Rule 2 — depth caps.</w:t>
      </w:r>
      <w:r>
        <w:rPr>
          <w:rFonts w:ascii="Calibri" w:hAnsi="Calibri"/>
          <w:b w:val="0"/>
          <w:i w:val="0"/>
          <w:color w:val="2B2F38"/>
          <w:sz w:val="21"/>
        </w:rPr>
        <w:t xml:space="preserve"> Depth caps in the ladder above are maximums, not targets. Any exception requires Trade Finance sign-off and is logged.</w:t>
      </w:r>
    </w:p>
    <w:p>
      <w:pPr>
        <w:pStyle w:val="ListBullet"/>
        <w:spacing w:after="80" w:line="274" w:lineRule="auto"/>
        <w:ind w:left="403" w:hanging="230"/>
      </w:pPr>
      <w:r>
        <w:rPr>
          <w:rFonts w:ascii="Calibri" w:hAnsi="Calibri"/>
          <w:b/>
          <w:i w:val="0"/>
          <w:color w:val="2B2F38"/>
          <w:sz w:val="21"/>
        </w:rPr>
        <w:t>Rule 3 — no stacking.</w:t>
      </w:r>
      <w:r>
        <w:rPr>
          <w:rFonts w:ascii="Calibri" w:hAnsi="Calibri"/>
          <w:b w:val="0"/>
          <w:i w:val="0"/>
          <w:color w:val="2B2F38"/>
          <w:sz w:val="21"/>
        </w:rPr>
        <w:t xml:space="preserve"> Acme depth may not be stacked with retailer-funded depth on the same item in the same week. Feature and display are the additive levers, not price.</w:t>
      </w:r>
    </w:p>
    <w:p>
      <w:pPr>
        <w:pStyle w:val="ListBullet"/>
        <w:spacing w:after="80" w:line="274" w:lineRule="auto"/>
        <w:ind w:left="403" w:hanging="230"/>
      </w:pPr>
      <w:r>
        <w:rPr>
          <w:rFonts w:ascii="Calibri" w:hAnsi="Calibri"/>
          <w:b/>
          <w:i w:val="0"/>
          <w:color w:val="2B2F38"/>
          <w:sz w:val="21"/>
        </w:rPr>
        <w:t>Rule 4 — premium items do not discount.</w:t>
      </w:r>
      <w:r>
        <w:rPr>
          <w:rFonts w:ascii="Calibri" w:hAnsi="Calibri"/>
          <w:b w:val="0"/>
          <w:i w:val="0"/>
          <w:color w:val="2B2F38"/>
          <w:sz w:val="21"/>
        </w:rPr>
        <w:t xml:space="preserve"> ProteinPeak and single-serve packs use sampling, display and retail media. A premium item trained to discount stops being premium.</w:t>
      </w:r>
    </w:p>
    <w:p>
      <w:pPr>
        <w:pStyle w:val="ListBullet"/>
        <w:spacing w:after="80" w:line="274" w:lineRule="auto"/>
        <w:ind w:left="403" w:hanging="230"/>
      </w:pPr>
      <w:r>
        <w:rPr>
          <w:rFonts w:ascii="Calibri" w:hAnsi="Calibri"/>
          <w:b/>
          <w:i w:val="0"/>
          <w:color w:val="2B2F38"/>
          <w:sz w:val="21"/>
        </w:rPr>
        <w:t>Rule 5 — index is reported monthly.</w:t>
      </w:r>
      <w:r>
        <w:rPr>
          <w:rFonts w:ascii="Calibri" w:hAnsi="Calibri"/>
          <w:b w:val="0"/>
          <w:i w:val="0"/>
          <w:color w:val="2B2F38"/>
          <w:sz w:val="21"/>
        </w:rPr>
        <w:t xml:space="preserve"> Portfolio and brand incrementality index appear alongside spend in the monthly commercial review, not in an annual post-event analysis.</w:t>
      </w:r>
    </w:p>
    <w:p>
      <w:pPr>
        <w:keepNext w:val="0"/>
        <w:spacing w:after="40" w:before="0" w:line="274" w:lineRule="auto"/>
      </w:pPr>
    </w:p>
    <w:tbl>
      <w:tblPr>
        <w:tblW w:w="9504" w:type="dxa"/>
        <w:tblBorders>
          <w:top w:val="none"/>
          <w:left w:val="single" w:sz="24" w:color="B98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What the 0.45 floor would have done to the Q1 calendar</w:t>
            </w:r>
          </w:p>
          <w:p>
            <w:pPr>
              <w:spacing w:after="40" w:line="274" w:lineRule="auto"/>
            </w:pPr>
            <w:r>
              <w:rPr>
                <w:rFonts w:ascii="Calibri" w:hAnsi="Calibri"/>
                <w:b w:val="0"/>
                <w:i w:val="0"/>
                <w:color w:val="2B2F38"/>
                <w:sz w:val="20"/>
              </w:rPr>
              <w:t>Applied to Q1 FY2026, the floor removes the lowest-returning mechanics and frees roughly $2.4M for feature-and-display weight, which indexes higher on every brand we run it on. It does not reduce the trade budget.</w:t>
            </w:r>
          </w:p>
        </w:tc>
      </w:tr>
    </w:tbl>
    <w:p>
      <w:pPr>
        <w:keepNext w:val="0"/>
        <w:spacing w:after="80" w:before="0" w:line="274" w:lineRule="auto"/>
      </w:pPr>
    </w:p>
    <w:p>
      <w:pPr>
        <w:keepNext/>
        <w:spacing w:after="40" w:before="240" w:line="274" w:lineRule="auto"/>
      </w:pPr>
      <w:r>
        <w:rPr>
          <w:rFonts w:ascii="Calibri" w:hAnsi="Calibri"/>
          <w:b/>
          <w:i w:val="0"/>
          <w:color w:val="2E7D75"/>
          <w:sz w:val="18"/>
        </w:rPr>
        <w:t>BASELINE</w:t>
      </w:r>
    </w:p>
    <w:p>
      <w:pPr>
        <w:keepNext/>
        <w:spacing w:after="100" w:before="0" w:line="274" w:lineRule="auto"/>
      </w:pPr>
      <w:r>
        <w:rPr>
          <w:rFonts w:ascii="Calibri" w:hAnsi="Calibri"/>
          <w:b/>
          <w:i w:val="0"/>
          <w:color w:val="1F2A44"/>
          <w:sz w:val="31"/>
        </w:rPr>
        <w:t>4 · Where each brand starts from</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281"/>
        <w:gridCol w:w="2091"/>
        <w:gridCol w:w="1711"/>
        <w:gridCol w:w="1331"/>
        <w:gridCol w:w="2091"/>
      </w:tblGrid>
      <w:tr>
        <w:tc>
          <w:tcPr>
            <w:tcW w:type="dxa" w:w="2281"/>
            <w:shd w:val="clear" w:color="auto" w:fill="1F2A44"/>
          </w:tcPr>
          <w:p>
            <w:pPr>
              <w:spacing w:after="20"/>
            </w:pPr>
            <w:r>
              <w:rPr>
                <w:rFonts w:ascii="Calibri" w:hAnsi="Calibri"/>
                <w:b/>
                <w:i w:val="0"/>
                <w:color w:val="FFFFFF"/>
                <w:sz w:val="18"/>
              </w:rPr>
              <w:t>Brand</w:t>
            </w:r>
          </w:p>
        </w:tc>
        <w:tc>
          <w:tcPr>
            <w:tcW w:type="dxa" w:w="2091"/>
            <w:shd w:val="clear" w:color="auto" w:fill="1F2A44"/>
          </w:tcPr>
          <w:p>
            <w:pPr>
              <w:spacing w:after="20"/>
              <w:jc w:val="right"/>
            </w:pPr>
            <w:r>
              <w:rPr>
                <w:rFonts w:ascii="Calibri" w:hAnsi="Calibri"/>
                <w:b/>
                <w:i w:val="0"/>
                <w:color w:val="FFFFFF"/>
                <w:sz w:val="18"/>
              </w:rPr>
              <w:t>FY25 trade spend</w:t>
            </w:r>
          </w:p>
        </w:tc>
        <w:tc>
          <w:tcPr>
            <w:tcW w:type="dxa" w:w="1711"/>
            <w:shd w:val="clear" w:color="auto" w:fill="1F2A44"/>
          </w:tcPr>
          <w:p>
            <w:pPr>
              <w:spacing w:after="20"/>
              <w:jc w:val="right"/>
            </w:pPr>
            <w:r>
              <w:rPr>
                <w:rFonts w:ascii="Calibri" w:hAnsi="Calibri"/>
                <w:b/>
                <w:i w:val="0"/>
                <w:color w:val="FFFFFF"/>
                <w:sz w:val="18"/>
              </w:rPr>
              <w:t>Average depth</w:t>
            </w:r>
          </w:p>
        </w:tc>
        <w:tc>
          <w:tcPr>
            <w:tcW w:type="dxa" w:w="1331"/>
            <w:shd w:val="clear" w:color="auto" w:fill="1F2A44"/>
          </w:tcPr>
          <w:p>
            <w:pPr>
              <w:spacing w:after="20"/>
              <w:jc w:val="right"/>
            </w:pPr>
            <w:r>
              <w:rPr>
                <w:rFonts w:ascii="Calibri" w:hAnsi="Calibri"/>
                <w:b/>
                <w:i w:val="0"/>
                <w:color w:val="FFFFFF"/>
                <w:sz w:val="18"/>
              </w:rPr>
              <w:t>Index</w:t>
            </w:r>
          </w:p>
        </w:tc>
        <w:tc>
          <w:tcPr>
            <w:tcW w:type="dxa" w:w="2091"/>
            <w:shd w:val="clear" w:color="auto" w:fill="1F2A44"/>
          </w:tcPr>
          <w:p>
            <w:pPr>
              <w:spacing w:after="20"/>
              <w:jc w:val="right"/>
            </w:pPr>
            <w:r>
              <w:rPr>
                <w:rFonts w:ascii="Calibri" w:hAnsi="Calibri"/>
                <w:b/>
                <w:i w:val="0"/>
                <w:color w:val="FFFFFF"/>
                <w:sz w:val="18"/>
              </w:rPr>
              <w:t>FY27 depth cap</w:t>
            </w:r>
          </w:p>
        </w:tc>
      </w:tr>
      <w:tr>
        <w:tc>
          <w:tcPr>
            <w:tcW w:type="dxa" w:w="2281"/>
            <w:shd w:val="clear" w:color="auto" w:fill="FFFFFF"/>
          </w:tcPr>
          <w:p>
            <w:pPr>
              <w:spacing w:after="20"/>
            </w:pPr>
            <w:r>
              <w:rPr>
                <w:rFonts w:ascii="Calibri" w:hAnsi="Calibri"/>
                <w:b w:val="0"/>
                <w:i w:val="0"/>
                <w:color w:val="2B2F38"/>
                <w:sz w:val="19"/>
              </w:rPr>
              <w:t>Crunchwell</w:t>
            </w:r>
          </w:p>
        </w:tc>
        <w:tc>
          <w:tcPr>
            <w:tcW w:type="dxa" w:w="2091"/>
            <w:shd w:val="clear" w:color="auto" w:fill="FFFFFF"/>
          </w:tcPr>
          <w:p>
            <w:pPr>
              <w:spacing w:after="20"/>
              <w:jc w:val="right"/>
            </w:pPr>
            <w:r>
              <w:rPr>
                <w:rFonts w:ascii="Calibri" w:hAnsi="Calibri"/>
                <w:b w:val="0"/>
                <w:i w:val="0"/>
                <w:color w:val="2B2F38"/>
                <w:sz w:val="19"/>
              </w:rPr>
              <w:t>$92.4M</w:t>
            </w:r>
          </w:p>
        </w:tc>
        <w:tc>
          <w:tcPr>
            <w:tcW w:type="dxa" w:w="1711"/>
            <w:shd w:val="clear" w:color="auto" w:fill="FFFFFF"/>
          </w:tcPr>
          <w:p>
            <w:pPr>
              <w:spacing w:after="20"/>
              <w:jc w:val="right"/>
            </w:pPr>
            <w:r>
              <w:rPr>
                <w:rFonts w:ascii="Calibri" w:hAnsi="Calibri"/>
                <w:b w:val="0"/>
                <w:i w:val="0"/>
                <w:color w:val="2B2F38"/>
                <w:sz w:val="19"/>
              </w:rPr>
              <w:t>24.4%</w:t>
            </w:r>
          </w:p>
        </w:tc>
        <w:tc>
          <w:tcPr>
            <w:tcW w:type="dxa" w:w="1331"/>
            <w:shd w:val="clear" w:color="auto" w:fill="FFFFFF"/>
          </w:tcPr>
          <w:p>
            <w:pPr>
              <w:spacing w:after="20"/>
              <w:jc w:val="right"/>
            </w:pPr>
            <w:r>
              <w:rPr>
                <w:rFonts w:ascii="Calibri" w:hAnsi="Calibri"/>
                <w:b w:val="0"/>
                <w:i w:val="0"/>
                <w:color w:val="2B2F38"/>
                <w:sz w:val="19"/>
              </w:rPr>
              <w:t>0.57</w:t>
            </w:r>
          </w:p>
        </w:tc>
        <w:tc>
          <w:tcPr>
            <w:tcW w:type="dxa" w:w="2091"/>
            <w:shd w:val="clear" w:color="auto" w:fill="FFFFFF"/>
          </w:tcPr>
          <w:p>
            <w:pPr>
              <w:spacing w:after="20"/>
              <w:jc w:val="right"/>
            </w:pPr>
            <w:r>
              <w:rPr>
                <w:rFonts w:ascii="Calibri" w:hAnsi="Calibri"/>
                <w:b w:val="0"/>
                <w:i w:val="0"/>
                <w:color w:val="2B2F38"/>
                <w:sz w:val="19"/>
              </w:rPr>
              <w:t>≤20%</w:t>
            </w:r>
          </w:p>
        </w:tc>
      </w:tr>
      <w:tr>
        <w:tc>
          <w:tcPr>
            <w:tcW w:type="dxa" w:w="2281"/>
            <w:shd w:val="clear" w:color="auto" w:fill="F5F7F9"/>
          </w:tcPr>
          <w:p>
            <w:pPr>
              <w:spacing w:after="20"/>
            </w:pPr>
            <w:r>
              <w:rPr>
                <w:rFonts w:ascii="Calibri" w:hAnsi="Calibri"/>
                <w:b w:val="0"/>
                <w:i w:val="0"/>
                <w:color w:val="2B2F38"/>
                <w:sz w:val="19"/>
              </w:rPr>
              <w:t>HoneyNest</w:t>
            </w:r>
          </w:p>
        </w:tc>
        <w:tc>
          <w:tcPr>
            <w:tcW w:type="dxa" w:w="2091"/>
            <w:shd w:val="clear" w:color="auto" w:fill="F5F7F9"/>
          </w:tcPr>
          <w:p>
            <w:pPr>
              <w:spacing w:after="20"/>
              <w:jc w:val="right"/>
            </w:pPr>
            <w:r>
              <w:rPr>
                <w:rFonts w:ascii="Calibri" w:hAnsi="Calibri"/>
                <w:b w:val="0"/>
                <w:i w:val="0"/>
                <w:color w:val="2B2F38"/>
                <w:sz w:val="19"/>
              </w:rPr>
              <w:t>$21.7M</w:t>
            </w:r>
          </w:p>
        </w:tc>
        <w:tc>
          <w:tcPr>
            <w:tcW w:type="dxa" w:w="1711"/>
            <w:shd w:val="clear" w:color="auto" w:fill="F5F7F9"/>
          </w:tcPr>
          <w:p>
            <w:pPr>
              <w:spacing w:after="20"/>
              <w:jc w:val="right"/>
            </w:pPr>
            <w:r>
              <w:rPr>
                <w:rFonts w:ascii="Calibri" w:hAnsi="Calibri"/>
                <w:b w:val="0"/>
                <w:i w:val="0"/>
                <w:color w:val="2B2F38"/>
                <w:sz w:val="19"/>
              </w:rPr>
              <w:t>24.2%</w:t>
            </w:r>
          </w:p>
        </w:tc>
        <w:tc>
          <w:tcPr>
            <w:tcW w:type="dxa" w:w="1331"/>
            <w:shd w:val="clear" w:color="auto" w:fill="F5F7F9"/>
          </w:tcPr>
          <w:p>
            <w:pPr>
              <w:spacing w:after="20"/>
              <w:jc w:val="right"/>
            </w:pPr>
            <w:r>
              <w:rPr>
                <w:rFonts w:ascii="Calibri" w:hAnsi="Calibri"/>
                <w:b w:val="0"/>
                <w:i w:val="0"/>
                <w:color w:val="2B2F38"/>
                <w:sz w:val="19"/>
              </w:rPr>
              <w:t>0.51</w:t>
            </w:r>
          </w:p>
        </w:tc>
        <w:tc>
          <w:tcPr>
            <w:tcW w:type="dxa" w:w="2091"/>
            <w:shd w:val="clear" w:color="auto" w:fill="F5F7F9"/>
          </w:tcPr>
          <w:p>
            <w:pPr>
              <w:spacing w:after="20"/>
              <w:jc w:val="right"/>
            </w:pPr>
            <w:r>
              <w:rPr>
                <w:rFonts w:ascii="Calibri" w:hAnsi="Calibri"/>
                <w:b w:val="0"/>
                <w:i w:val="0"/>
                <w:color w:val="2B2F38"/>
                <w:sz w:val="19"/>
              </w:rPr>
              <w:t>≤15%</w:t>
            </w:r>
          </w:p>
        </w:tc>
      </w:tr>
      <w:tr>
        <w:tc>
          <w:tcPr>
            <w:tcW w:type="dxa" w:w="2281"/>
            <w:shd w:val="clear" w:color="auto" w:fill="FFFFFF"/>
          </w:tcPr>
          <w:p>
            <w:pPr>
              <w:spacing w:after="20"/>
            </w:pPr>
            <w:r>
              <w:rPr>
                <w:rFonts w:ascii="Calibri" w:hAnsi="Calibri"/>
                <w:b w:val="0"/>
                <w:i w:val="0"/>
                <w:color w:val="2B2F38"/>
                <w:sz w:val="19"/>
              </w:rPr>
              <w:t>TrailGrove</w:t>
            </w:r>
          </w:p>
        </w:tc>
        <w:tc>
          <w:tcPr>
            <w:tcW w:type="dxa" w:w="2091"/>
            <w:shd w:val="clear" w:color="auto" w:fill="FFFFFF"/>
          </w:tcPr>
          <w:p>
            <w:pPr>
              <w:spacing w:after="20"/>
              <w:jc w:val="right"/>
            </w:pPr>
            <w:r>
              <w:rPr>
                <w:rFonts w:ascii="Calibri" w:hAnsi="Calibri"/>
                <w:b w:val="0"/>
                <w:i w:val="0"/>
                <w:color w:val="2B2F38"/>
                <w:sz w:val="19"/>
              </w:rPr>
              <w:t>$10.8M</w:t>
            </w:r>
          </w:p>
        </w:tc>
        <w:tc>
          <w:tcPr>
            <w:tcW w:type="dxa" w:w="1711"/>
            <w:shd w:val="clear" w:color="auto" w:fill="FFFFFF"/>
          </w:tcPr>
          <w:p>
            <w:pPr>
              <w:spacing w:after="20"/>
              <w:jc w:val="right"/>
            </w:pPr>
            <w:r>
              <w:rPr>
                <w:rFonts w:ascii="Calibri" w:hAnsi="Calibri"/>
                <w:b w:val="0"/>
                <w:i w:val="0"/>
                <w:color w:val="2B2F38"/>
                <w:sz w:val="19"/>
              </w:rPr>
              <w:t>13.5%</w:t>
            </w:r>
          </w:p>
        </w:tc>
        <w:tc>
          <w:tcPr>
            <w:tcW w:type="dxa" w:w="1331"/>
            <w:shd w:val="clear" w:color="auto" w:fill="FFFFFF"/>
          </w:tcPr>
          <w:p>
            <w:pPr>
              <w:spacing w:after="20"/>
              <w:jc w:val="right"/>
            </w:pPr>
            <w:r>
              <w:rPr>
                <w:rFonts w:ascii="Calibri" w:hAnsi="Calibri"/>
                <w:b w:val="0"/>
                <w:i w:val="0"/>
                <w:color w:val="2B2F38"/>
                <w:sz w:val="19"/>
              </w:rPr>
              <w:t>0.52</w:t>
            </w:r>
          </w:p>
        </w:tc>
        <w:tc>
          <w:tcPr>
            <w:tcW w:type="dxa" w:w="2091"/>
            <w:shd w:val="clear" w:color="auto" w:fill="FFFFFF"/>
          </w:tcPr>
          <w:p>
            <w:pPr>
              <w:spacing w:after="20"/>
              <w:jc w:val="right"/>
            </w:pPr>
            <w:r>
              <w:rPr>
                <w:rFonts w:ascii="Calibri" w:hAnsi="Calibri"/>
                <w:b w:val="0"/>
                <w:i w:val="0"/>
                <w:color w:val="2B2F38"/>
                <w:sz w:val="19"/>
              </w:rPr>
              <w:t>≤15%</w:t>
            </w:r>
          </w:p>
        </w:tc>
      </w:tr>
      <w:tr>
        <w:tc>
          <w:tcPr>
            <w:tcW w:type="dxa" w:w="2281"/>
            <w:shd w:val="clear" w:color="auto" w:fill="F5F7F9"/>
          </w:tcPr>
          <w:p>
            <w:pPr>
              <w:spacing w:after="20"/>
            </w:pPr>
            <w:r>
              <w:rPr>
                <w:rFonts w:ascii="Calibri" w:hAnsi="Calibri"/>
                <w:b w:val="0"/>
                <w:i w:val="0"/>
                <w:color w:val="2B2F38"/>
                <w:sz w:val="19"/>
              </w:rPr>
              <w:t>MorningOats</w:t>
            </w:r>
          </w:p>
        </w:tc>
        <w:tc>
          <w:tcPr>
            <w:tcW w:type="dxa" w:w="2091"/>
            <w:shd w:val="clear" w:color="auto" w:fill="F5F7F9"/>
          </w:tcPr>
          <w:p>
            <w:pPr>
              <w:spacing w:after="20"/>
              <w:jc w:val="right"/>
            </w:pPr>
            <w:r>
              <w:rPr>
                <w:rFonts w:ascii="Calibri" w:hAnsi="Calibri"/>
                <w:b w:val="0"/>
                <w:i w:val="0"/>
                <w:color w:val="2B2F38"/>
                <w:sz w:val="19"/>
              </w:rPr>
              <w:t>$10.2M</w:t>
            </w:r>
          </w:p>
        </w:tc>
        <w:tc>
          <w:tcPr>
            <w:tcW w:type="dxa" w:w="1711"/>
            <w:shd w:val="clear" w:color="auto" w:fill="F5F7F9"/>
          </w:tcPr>
          <w:p>
            <w:pPr>
              <w:spacing w:after="20"/>
              <w:jc w:val="right"/>
            </w:pPr>
            <w:r>
              <w:rPr>
                <w:rFonts w:ascii="Calibri" w:hAnsi="Calibri"/>
                <w:b w:val="0"/>
                <w:i w:val="0"/>
                <w:color w:val="2B2F38"/>
                <w:sz w:val="19"/>
              </w:rPr>
              <w:t>17.8%</w:t>
            </w:r>
          </w:p>
        </w:tc>
        <w:tc>
          <w:tcPr>
            <w:tcW w:type="dxa" w:w="1331"/>
            <w:shd w:val="clear" w:color="auto" w:fill="F5F7F9"/>
          </w:tcPr>
          <w:p>
            <w:pPr>
              <w:spacing w:after="20"/>
              <w:jc w:val="right"/>
            </w:pPr>
            <w:r>
              <w:rPr>
                <w:rFonts w:ascii="Calibri" w:hAnsi="Calibri"/>
                <w:b w:val="0"/>
                <w:i w:val="0"/>
                <w:color w:val="2B2F38"/>
                <w:sz w:val="19"/>
              </w:rPr>
              <w:t>0.59</w:t>
            </w:r>
          </w:p>
        </w:tc>
        <w:tc>
          <w:tcPr>
            <w:tcW w:type="dxa" w:w="2091"/>
            <w:shd w:val="clear" w:color="auto" w:fill="F5F7F9"/>
          </w:tcPr>
          <w:p>
            <w:pPr>
              <w:spacing w:after="20"/>
              <w:jc w:val="right"/>
            </w:pPr>
            <w:r>
              <w:rPr>
                <w:rFonts w:ascii="Calibri" w:hAnsi="Calibri"/>
                <w:b w:val="0"/>
                <w:i w:val="0"/>
                <w:color w:val="2B2F38"/>
                <w:sz w:val="19"/>
              </w:rPr>
              <w:t>≤15%</w:t>
            </w:r>
          </w:p>
        </w:tc>
      </w:tr>
      <w:tr>
        <w:tc>
          <w:tcPr>
            <w:tcW w:type="dxa" w:w="2281"/>
            <w:shd w:val="clear" w:color="auto" w:fill="FFFFFF"/>
          </w:tcPr>
          <w:p>
            <w:pPr>
              <w:spacing w:after="20"/>
            </w:pPr>
            <w:r>
              <w:rPr>
                <w:rFonts w:ascii="Calibri" w:hAnsi="Calibri"/>
                <w:b w:val="0"/>
                <w:i w:val="0"/>
                <w:color w:val="2B2F38"/>
                <w:sz w:val="19"/>
              </w:rPr>
              <w:t>ProteinPeak</w:t>
            </w:r>
          </w:p>
        </w:tc>
        <w:tc>
          <w:tcPr>
            <w:tcW w:type="dxa" w:w="2091"/>
            <w:shd w:val="clear" w:color="auto" w:fill="FFFFFF"/>
          </w:tcPr>
          <w:p>
            <w:pPr>
              <w:spacing w:after="20"/>
              <w:jc w:val="right"/>
            </w:pPr>
            <w:r>
              <w:rPr>
                <w:rFonts w:ascii="Calibri" w:hAnsi="Calibri"/>
                <w:b w:val="0"/>
                <w:i w:val="0"/>
                <w:color w:val="2B2F38"/>
                <w:sz w:val="19"/>
              </w:rPr>
              <w:t>$6.9M</w:t>
            </w:r>
          </w:p>
        </w:tc>
        <w:tc>
          <w:tcPr>
            <w:tcW w:type="dxa" w:w="1711"/>
            <w:shd w:val="clear" w:color="auto" w:fill="FFFFFF"/>
          </w:tcPr>
          <w:p>
            <w:pPr>
              <w:spacing w:after="20"/>
              <w:jc w:val="right"/>
            </w:pPr>
            <w:r>
              <w:rPr>
                <w:rFonts w:ascii="Calibri" w:hAnsi="Calibri"/>
                <w:b w:val="0"/>
                <w:i w:val="0"/>
                <w:color w:val="2B2F38"/>
                <w:sz w:val="19"/>
              </w:rPr>
              <w:t>11.5%</w:t>
            </w:r>
          </w:p>
        </w:tc>
        <w:tc>
          <w:tcPr>
            <w:tcW w:type="dxa" w:w="1331"/>
            <w:shd w:val="clear" w:color="auto" w:fill="FFFFFF"/>
          </w:tcPr>
          <w:p>
            <w:pPr>
              <w:spacing w:after="20"/>
              <w:jc w:val="right"/>
            </w:pPr>
            <w:r>
              <w:rPr>
                <w:rFonts w:ascii="Calibri" w:hAnsi="Calibri"/>
                <w:b w:val="0"/>
                <w:i w:val="0"/>
                <w:color w:val="2B2F38"/>
                <w:sz w:val="19"/>
              </w:rPr>
              <w:t>0.45</w:t>
            </w:r>
          </w:p>
        </w:tc>
        <w:tc>
          <w:tcPr>
            <w:tcW w:type="dxa" w:w="2091"/>
            <w:shd w:val="clear" w:color="auto" w:fill="FFFFFF"/>
          </w:tcPr>
          <w:p>
            <w:pPr>
              <w:spacing w:after="20"/>
              <w:jc w:val="right"/>
            </w:pPr>
            <w:r>
              <w:rPr>
                <w:rFonts w:ascii="Calibri" w:hAnsi="Calibri"/>
                <w:b w:val="0"/>
                <w:i w:val="0"/>
                <w:color w:val="2B2F38"/>
                <w:sz w:val="19"/>
              </w:rPr>
              <w:t>≤10%</w:t>
            </w:r>
          </w:p>
        </w:tc>
      </w:tr>
      <w:tr>
        <w:tc>
          <w:tcPr>
            <w:tcW w:type="dxa" w:w="2281"/>
            <w:shd w:val="clear" w:color="auto" w:fill="F5F7F9"/>
          </w:tcPr>
          <w:p>
            <w:pPr>
              <w:spacing w:after="20"/>
            </w:pPr>
            <w:r>
              <w:rPr>
                <w:rFonts w:ascii="Calibri" w:hAnsi="Calibri"/>
                <w:b w:val="0"/>
                <w:i w:val="0"/>
                <w:color w:val="2B2F38"/>
                <w:sz w:val="19"/>
              </w:rPr>
              <w:t>RootDay</w:t>
            </w:r>
          </w:p>
        </w:tc>
        <w:tc>
          <w:tcPr>
            <w:tcW w:type="dxa" w:w="2091"/>
            <w:shd w:val="clear" w:color="auto" w:fill="F5F7F9"/>
          </w:tcPr>
          <w:p>
            <w:pPr>
              <w:spacing w:after="20"/>
              <w:jc w:val="right"/>
            </w:pPr>
            <w:r>
              <w:rPr>
                <w:rFonts w:ascii="Calibri" w:hAnsi="Calibri"/>
                <w:b w:val="0"/>
                <w:i w:val="0"/>
                <w:color w:val="2B2F38"/>
                <w:sz w:val="19"/>
              </w:rPr>
              <w:t>$4.7M</w:t>
            </w:r>
          </w:p>
        </w:tc>
        <w:tc>
          <w:tcPr>
            <w:tcW w:type="dxa" w:w="1711"/>
            <w:shd w:val="clear" w:color="auto" w:fill="F5F7F9"/>
          </w:tcPr>
          <w:p>
            <w:pPr>
              <w:spacing w:after="20"/>
              <w:jc w:val="right"/>
            </w:pPr>
            <w:r>
              <w:rPr>
                <w:rFonts w:ascii="Calibri" w:hAnsi="Calibri"/>
                <w:b w:val="0"/>
                <w:i w:val="0"/>
                <w:color w:val="2B2F38"/>
                <w:sz w:val="19"/>
              </w:rPr>
              <w:t>9.5%</w:t>
            </w:r>
          </w:p>
        </w:tc>
        <w:tc>
          <w:tcPr>
            <w:tcW w:type="dxa" w:w="1331"/>
            <w:shd w:val="clear" w:color="auto" w:fill="F5F7F9"/>
          </w:tcPr>
          <w:p>
            <w:pPr>
              <w:spacing w:after="20"/>
              <w:jc w:val="right"/>
            </w:pPr>
            <w:r>
              <w:rPr>
                <w:rFonts w:ascii="Calibri" w:hAnsi="Calibri"/>
                <w:b w:val="0"/>
                <w:i w:val="0"/>
                <w:color w:val="2B2F38"/>
                <w:sz w:val="19"/>
              </w:rPr>
              <w:t>0.43</w:t>
            </w:r>
          </w:p>
        </w:tc>
        <w:tc>
          <w:tcPr>
            <w:tcW w:type="dxa" w:w="2091"/>
            <w:shd w:val="clear" w:color="auto" w:fill="F5F7F9"/>
          </w:tcPr>
          <w:p>
            <w:pPr>
              <w:spacing w:after="20"/>
              <w:jc w:val="right"/>
            </w:pPr>
            <w:r>
              <w:rPr>
                <w:rFonts w:ascii="Calibri" w:hAnsi="Calibri"/>
                <w:b w:val="0"/>
                <w:i w:val="0"/>
                <w:color w:val="2B2F38"/>
                <w:sz w:val="19"/>
              </w:rPr>
              <w:t>≤15%</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seed_trade_spend_fy25. Caps are the FY27 policy.</w:t>
      </w:r>
    </w:p>
    <w:p>
      <w:pPr>
        <w:keepNext/>
        <w:spacing w:after="40" w:before="240" w:line="274" w:lineRule="auto"/>
      </w:pPr>
      <w:r>
        <w:rPr>
          <w:rFonts w:ascii="Calibri" w:hAnsi="Calibri"/>
          <w:b/>
          <w:i w:val="0"/>
          <w:color w:val="2E7D75"/>
          <w:sz w:val="18"/>
        </w:rPr>
        <w:t>EXCEPTIONS</w:t>
      </w:r>
    </w:p>
    <w:p>
      <w:pPr>
        <w:keepNext/>
        <w:spacing w:after="100" w:before="0" w:line="274" w:lineRule="auto"/>
      </w:pPr>
      <w:r>
        <w:rPr>
          <w:rFonts w:ascii="Calibri" w:hAnsi="Calibri"/>
          <w:b/>
          <w:i w:val="0"/>
          <w:color w:val="1F2A44"/>
          <w:sz w:val="31"/>
        </w:rPr>
        <w:t>5 · How exceptions work</w:t>
      </w:r>
    </w:p>
    <w:p>
      <w:pPr>
        <w:keepNext w:val="0"/>
        <w:spacing w:after="120" w:before="0" w:line="274" w:lineRule="auto"/>
      </w:pPr>
      <w:r>
        <w:rPr>
          <w:rFonts w:ascii="Calibri" w:hAnsi="Calibri"/>
          <w:b w:val="0"/>
          <w:i w:val="0"/>
          <w:color w:val="2B2F38"/>
          <w:sz w:val="21"/>
        </w:rPr>
        <w:t>Exceptions exist because line reviews are negotiations. They are not, however, discretionary at the account level. Any deviation from the ladder or the caps requires written Trade Finance approval, states the distribution commitment it is defending, and carries an expiry date. Exceptions are reviewed quarterly and reported to the CFO in aggregate.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421"/>
        <w:gridCol w:w="2281"/>
        <w:gridCol w:w="1901"/>
        <w:gridCol w:w="1901"/>
      </w:tblGrid>
      <w:tr>
        <w:tc>
          <w:tcPr>
            <w:tcW w:type="dxa" w:w="3421"/>
            <w:shd w:val="clear" w:color="auto" w:fill="1F2A44"/>
          </w:tcPr>
          <w:p>
            <w:pPr>
              <w:spacing w:after="20"/>
            </w:pPr>
            <w:r>
              <w:rPr>
                <w:rFonts w:ascii="Calibri" w:hAnsi="Calibri"/>
                <w:b/>
                <w:i w:val="0"/>
                <w:color w:val="FFFFFF"/>
                <w:sz w:val="17"/>
              </w:rPr>
              <w:t>Exception type</w:t>
            </w:r>
          </w:p>
        </w:tc>
        <w:tc>
          <w:tcPr>
            <w:tcW w:type="dxa" w:w="2281"/>
            <w:shd w:val="clear" w:color="auto" w:fill="1F2A44"/>
          </w:tcPr>
          <w:p>
            <w:pPr>
              <w:spacing w:after="20"/>
            </w:pPr>
            <w:r>
              <w:rPr>
                <w:rFonts w:ascii="Calibri" w:hAnsi="Calibri"/>
                <w:b/>
                <w:i w:val="0"/>
                <w:color w:val="FFFFFF"/>
                <w:sz w:val="17"/>
              </w:rPr>
              <w:t>Approver</w:t>
            </w:r>
          </w:p>
        </w:tc>
        <w:tc>
          <w:tcPr>
            <w:tcW w:type="dxa" w:w="1901"/>
            <w:shd w:val="clear" w:color="auto" w:fill="1F2A44"/>
          </w:tcPr>
          <w:p>
            <w:pPr>
              <w:spacing w:after="20"/>
            </w:pPr>
            <w:r>
              <w:rPr>
                <w:rFonts w:ascii="Calibri" w:hAnsi="Calibri"/>
                <w:b/>
                <w:i w:val="0"/>
                <w:color w:val="FFFFFF"/>
                <w:sz w:val="17"/>
              </w:rPr>
              <w:t>Maximum duration</w:t>
            </w:r>
          </w:p>
        </w:tc>
        <w:tc>
          <w:tcPr>
            <w:tcW w:type="dxa" w:w="1901"/>
            <w:shd w:val="clear" w:color="auto" w:fill="1F2A44"/>
          </w:tcPr>
          <w:p>
            <w:pPr>
              <w:spacing w:after="20"/>
            </w:pPr>
            <w:r>
              <w:rPr>
                <w:rFonts w:ascii="Calibri" w:hAnsi="Calibri"/>
                <w:b/>
                <w:i w:val="0"/>
                <w:color w:val="FFFFFF"/>
                <w:sz w:val="17"/>
              </w:rPr>
              <w:t>Reporting</w:t>
            </w:r>
          </w:p>
        </w:tc>
      </w:tr>
      <w:tr>
        <w:tc>
          <w:tcPr>
            <w:tcW w:type="dxa" w:w="3421"/>
            <w:shd w:val="clear" w:color="auto" w:fill="FFFFFF"/>
          </w:tcPr>
          <w:p>
            <w:pPr>
              <w:spacing w:after="20"/>
            </w:pPr>
            <w:r>
              <w:rPr>
                <w:rFonts w:ascii="Calibri" w:hAnsi="Calibri"/>
                <w:b w:val="0"/>
                <w:i w:val="0"/>
                <w:color w:val="2B2F38"/>
                <w:sz w:val="18"/>
              </w:rPr>
              <w:t>Depth above cap for a line-review commitment</w:t>
            </w:r>
          </w:p>
        </w:tc>
        <w:tc>
          <w:tcPr>
            <w:tcW w:type="dxa" w:w="2281"/>
            <w:shd w:val="clear" w:color="auto" w:fill="FFFFFF"/>
          </w:tcPr>
          <w:p>
            <w:pPr>
              <w:spacing w:after="20"/>
            </w:pPr>
            <w:r>
              <w:rPr>
                <w:rFonts w:ascii="Calibri" w:hAnsi="Calibri"/>
                <w:b w:val="0"/>
                <w:i w:val="0"/>
                <w:color w:val="2B2F38"/>
                <w:sz w:val="18"/>
              </w:rPr>
              <w:t>Trade Finance + RGM Lead</w:t>
            </w:r>
          </w:p>
        </w:tc>
        <w:tc>
          <w:tcPr>
            <w:tcW w:type="dxa" w:w="1901"/>
            <w:shd w:val="clear" w:color="auto" w:fill="FFFFFF"/>
          </w:tcPr>
          <w:p>
            <w:pPr>
              <w:spacing w:after="20"/>
            </w:pPr>
            <w:r>
              <w:rPr>
                <w:rFonts w:ascii="Calibri" w:hAnsi="Calibri"/>
                <w:b w:val="0"/>
                <w:i w:val="0"/>
                <w:color w:val="2B2F38"/>
                <w:sz w:val="18"/>
              </w:rPr>
              <w:t>One event window</w:t>
            </w:r>
          </w:p>
        </w:tc>
        <w:tc>
          <w:tcPr>
            <w:tcW w:type="dxa" w:w="1901"/>
            <w:shd w:val="clear" w:color="auto" w:fill="FFFFFF"/>
          </w:tcPr>
          <w:p>
            <w:pPr>
              <w:spacing w:after="20"/>
            </w:pPr>
            <w:r>
              <w:rPr>
                <w:rFonts w:ascii="Calibri" w:hAnsi="Calibri"/>
                <w:b w:val="0"/>
                <w:i w:val="0"/>
                <w:color w:val="2B2F38"/>
                <w:sz w:val="18"/>
              </w:rPr>
              <w:t>Monthly commercial review</w:t>
            </w:r>
          </w:p>
        </w:tc>
      </w:tr>
      <w:tr>
        <w:tc>
          <w:tcPr>
            <w:tcW w:type="dxa" w:w="3421"/>
            <w:shd w:val="clear" w:color="auto" w:fill="F5F7F9"/>
          </w:tcPr>
          <w:p>
            <w:pPr>
              <w:spacing w:after="20"/>
            </w:pPr>
            <w:r>
              <w:rPr>
                <w:rFonts w:ascii="Calibri" w:hAnsi="Calibri"/>
                <w:b w:val="0"/>
                <w:i w:val="0"/>
                <w:color w:val="2B2F38"/>
                <w:sz w:val="18"/>
              </w:rPr>
              <w:t>Event below the 0.45 index floor</w:t>
            </w:r>
          </w:p>
        </w:tc>
        <w:tc>
          <w:tcPr>
            <w:tcW w:type="dxa" w:w="2281"/>
            <w:shd w:val="clear" w:color="auto" w:fill="F5F7F9"/>
          </w:tcPr>
          <w:p>
            <w:pPr>
              <w:spacing w:after="20"/>
            </w:pPr>
            <w:r>
              <w:rPr>
                <w:rFonts w:ascii="Calibri" w:hAnsi="Calibri"/>
                <w:b w:val="0"/>
                <w:i w:val="0"/>
                <w:color w:val="2B2F38"/>
                <w:sz w:val="18"/>
              </w:rPr>
              <w:t>RGM Lead</w:t>
            </w:r>
          </w:p>
        </w:tc>
        <w:tc>
          <w:tcPr>
            <w:tcW w:type="dxa" w:w="1901"/>
            <w:shd w:val="clear" w:color="auto" w:fill="F5F7F9"/>
          </w:tcPr>
          <w:p>
            <w:pPr>
              <w:spacing w:after="20"/>
            </w:pPr>
            <w:r>
              <w:rPr>
                <w:rFonts w:ascii="Calibri" w:hAnsi="Calibri"/>
                <w:b w:val="0"/>
                <w:i w:val="0"/>
                <w:color w:val="2B2F38"/>
                <w:sz w:val="18"/>
              </w:rPr>
              <w:t>One quarter</w:t>
            </w:r>
          </w:p>
        </w:tc>
        <w:tc>
          <w:tcPr>
            <w:tcW w:type="dxa" w:w="1901"/>
            <w:shd w:val="clear" w:color="auto" w:fill="F5F7F9"/>
          </w:tcPr>
          <w:p>
            <w:pPr>
              <w:spacing w:after="20"/>
            </w:pPr>
            <w:r>
              <w:rPr>
                <w:rFonts w:ascii="Calibri" w:hAnsi="Calibri"/>
                <w:b w:val="0"/>
                <w:i w:val="0"/>
                <w:color w:val="2B2F38"/>
                <w:sz w:val="18"/>
              </w:rPr>
              <w:t>Quarterly to CFO</w:t>
            </w:r>
          </w:p>
        </w:tc>
      </w:tr>
      <w:tr>
        <w:tc>
          <w:tcPr>
            <w:tcW w:type="dxa" w:w="3421"/>
            <w:shd w:val="clear" w:color="auto" w:fill="FFFFFF"/>
          </w:tcPr>
          <w:p>
            <w:pPr>
              <w:spacing w:after="20"/>
            </w:pPr>
            <w:r>
              <w:rPr>
                <w:rFonts w:ascii="Calibri" w:hAnsi="Calibri"/>
                <w:b w:val="0"/>
                <w:i w:val="0"/>
                <w:color w:val="2B2F38"/>
                <w:sz w:val="18"/>
              </w:rPr>
              <w:t>New pack price outside the ladder</w:t>
            </w:r>
          </w:p>
        </w:tc>
        <w:tc>
          <w:tcPr>
            <w:tcW w:type="dxa" w:w="2281"/>
            <w:shd w:val="clear" w:color="auto" w:fill="FFFFFF"/>
          </w:tcPr>
          <w:p>
            <w:pPr>
              <w:spacing w:after="20"/>
            </w:pPr>
            <w:r>
              <w:rPr>
                <w:rFonts w:ascii="Calibri" w:hAnsi="Calibri"/>
                <w:b w:val="0"/>
                <w:i w:val="0"/>
                <w:color w:val="2B2F38"/>
                <w:sz w:val="18"/>
              </w:rPr>
              <w:t>CFO</w:t>
            </w:r>
          </w:p>
        </w:tc>
        <w:tc>
          <w:tcPr>
            <w:tcW w:type="dxa" w:w="1901"/>
            <w:shd w:val="clear" w:color="auto" w:fill="FFFFFF"/>
          </w:tcPr>
          <w:p>
            <w:pPr>
              <w:spacing w:after="20"/>
            </w:pPr>
            <w:r>
              <w:rPr>
                <w:rFonts w:ascii="Calibri" w:hAnsi="Calibri"/>
                <w:b w:val="0"/>
                <w:i w:val="0"/>
                <w:color w:val="2B2F38"/>
                <w:sz w:val="18"/>
              </w:rPr>
              <w:t>Permanent (ladder amended)</w:t>
            </w:r>
          </w:p>
        </w:tc>
        <w:tc>
          <w:tcPr>
            <w:tcW w:type="dxa" w:w="1901"/>
            <w:shd w:val="clear" w:color="auto" w:fill="FFFFFF"/>
          </w:tcPr>
          <w:p>
            <w:pPr>
              <w:spacing w:after="20"/>
            </w:pPr>
            <w:r>
              <w:rPr>
                <w:rFonts w:ascii="Calibri" w:hAnsi="Calibri"/>
                <w:b w:val="0"/>
                <w:i w:val="0"/>
                <w:color w:val="2B2F38"/>
                <w:sz w:val="18"/>
              </w:rPr>
              <w:t>At approval</w:t>
            </w:r>
          </w:p>
        </w:tc>
      </w:tr>
      <w:tr>
        <w:tc>
          <w:tcPr>
            <w:tcW w:type="dxa" w:w="3421"/>
            <w:shd w:val="clear" w:color="auto" w:fill="F5F7F9"/>
          </w:tcPr>
          <w:p>
            <w:pPr>
              <w:spacing w:after="20"/>
            </w:pPr>
            <w:r>
              <w:rPr>
                <w:rFonts w:ascii="Calibri" w:hAnsi="Calibri"/>
                <w:b w:val="0"/>
                <w:i w:val="0"/>
                <w:color w:val="2B2F38"/>
                <w:sz w:val="18"/>
              </w:rPr>
              <w:t>Premium-item discount</w:t>
            </w:r>
          </w:p>
        </w:tc>
        <w:tc>
          <w:tcPr>
            <w:tcW w:type="dxa" w:w="2281"/>
            <w:shd w:val="clear" w:color="auto" w:fill="F5F7F9"/>
          </w:tcPr>
          <w:p>
            <w:pPr>
              <w:spacing w:after="20"/>
            </w:pPr>
            <w:r>
              <w:rPr>
                <w:rFonts w:ascii="Calibri" w:hAnsi="Calibri"/>
                <w:b w:val="0"/>
                <w:i w:val="0"/>
                <w:color w:val="2B2F38"/>
                <w:sz w:val="18"/>
              </w:rPr>
              <w:t>CFO</w:t>
            </w:r>
          </w:p>
        </w:tc>
        <w:tc>
          <w:tcPr>
            <w:tcW w:type="dxa" w:w="1901"/>
            <w:shd w:val="clear" w:color="auto" w:fill="F5F7F9"/>
          </w:tcPr>
          <w:p>
            <w:pPr>
              <w:spacing w:after="20"/>
            </w:pPr>
            <w:r>
              <w:rPr>
                <w:rFonts w:ascii="Calibri" w:hAnsi="Calibri"/>
                <w:b w:val="0"/>
                <w:i w:val="0"/>
                <w:color w:val="2B2F38"/>
                <w:sz w:val="18"/>
              </w:rPr>
              <w:t>One event window</w:t>
            </w:r>
          </w:p>
        </w:tc>
        <w:tc>
          <w:tcPr>
            <w:tcW w:type="dxa" w:w="1901"/>
            <w:shd w:val="clear" w:color="auto" w:fill="F5F7F9"/>
          </w:tcPr>
          <w:p>
            <w:pPr>
              <w:spacing w:after="20"/>
            </w:pPr>
            <w:r>
              <w:rPr>
                <w:rFonts w:ascii="Calibri" w:hAnsi="Calibri"/>
                <w:b w:val="0"/>
                <w:i w:val="0"/>
                <w:color w:val="2B2F38"/>
                <w:sz w:val="18"/>
              </w:rPr>
              <w:t>Quarterly to CFO</w:t>
            </w:r>
          </w:p>
        </w:tc>
      </w:tr>
    </w:tbl>
    <w:p>
      <w:pPr>
        <w:keepNext w:val="0"/>
        <w:spacing w:after="60" w:before="0" w:line="274" w:lineRule="auto"/>
      </w:pP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Adopt the ladder and the five guardrails with effect from August 1 2026</w:t>
            </w:r>
          </w:p>
        </w:tc>
        <w:tc>
          <w:tcPr>
            <w:tcW w:type="dxa" w:w="2281"/>
            <w:shd w:val="clear" w:color="auto" w:fill="FFFFFF"/>
          </w:tcPr>
          <w:p>
            <w:pPr>
              <w:spacing w:after="20"/>
            </w:pPr>
            <w:r>
              <w:rPr>
                <w:rFonts w:ascii="Calibri" w:hAnsi="Calibri"/>
                <w:b w:val="0"/>
                <w:i w:val="0"/>
                <w:color w:val="2B2F38"/>
                <w:sz w:val="19"/>
              </w:rPr>
              <w:t>CFO</w:t>
            </w:r>
          </w:p>
        </w:tc>
        <w:tc>
          <w:tcPr>
            <w:tcW w:type="dxa" w:w="1521"/>
            <w:shd w:val="clear" w:color="auto" w:fill="FFFFFF"/>
          </w:tcPr>
          <w:p>
            <w:pPr>
              <w:spacing w:after="20"/>
              <w:jc w:val="right"/>
            </w:pPr>
            <w:r>
              <w:rPr>
                <w:rFonts w:ascii="Calibri" w:hAnsi="Calibri"/>
                <w:b w:val="0"/>
                <w:i w:val="0"/>
                <w:color w:val="2B2F38"/>
                <w:sz w:val="19"/>
              </w:rPr>
              <w:t>Aug 1 2026</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Rebuild the Q3 and Q4 FY26 calendars against the 0.45 floor</w:t>
            </w:r>
          </w:p>
        </w:tc>
        <w:tc>
          <w:tcPr>
            <w:tcW w:type="dxa" w:w="2281"/>
            <w:shd w:val="clear" w:color="auto" w:fill="F5F7F9"/>
          </w:tcPr>
          <w:p>
            <w:pPr>
              <w:spacing w:after="20"/>
            </w:pPr>
            <w:r>
              <w:rPr>
                <w:rFonts w:ascii="Calibri" w:hAnsi="Calibri"/>
                <w:b w:val="0"/>
                <w:i w:val="0"/>
                <w:color w:val="2B2F38"/>
                <w:sz w:val="19"/>
              </w:rPr>
              <w:t>NAM team / Trade Finance</w:t>
            </w:r>
          </w:p>
        </w:tc>
        <w:tc>
          <w:tcPr>
            <w:tcW w:type="dxa" w:w="1521"/>
            <w:shd w:val="clear" w:color="auto" w:fill="F5F7F9"/>
          </w:tcPr>
          <w:p>
            <w:pPr>
              <w:spacing w:after="20"/>
              <w:jc w:val="right"/>
            </w:pPr>
            <w:r>
              <w:rPr>
                <w:rFonts w:ascii="Calibri" w:hAnsi="Calibri"/>
                <w:b w:val="0"/>
                <w:i w:val="0"/>
                <w:color w:val="2B2F38"/>
                <w:sz w:val="19"/>
              </w:rPr>
              <w:t>By Aug 15</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Add portfolio and brand index to the monthly commercial review pack</w:t>
            </w:r>
          </w:p>
        </w:tc>
        <w:tc>
          <w:tcPr>
            <w:tcW w:type="dxa" w:w="2281"/>
            <w:shd w:val="clear" w:color="auto" w:fill="FFFFFF"/>
          </w:tcPr>
          <w:p>
            <w:pPr>
              <w:spacing w:after="20"/>
            </w:pPr>
            <w:r>
              <w:rPr>
                <w:rFonts w:ascii="Calibri" w:hAnsi="Calibri"/>
                <w:b w:val="0"/>
                <w:i w:val="0"/>
                <w:color w:val="2B2F38"/>
                <w:sz w:val="19"/>
              </w:rPr>
              <w:t>Trade Finance</w:t>
            </w:r>
          </w:p>
        </w:tc>
        <w:tc>
          <w:tcPr>
            <w:tcW w:type="dxa" w:w="1521"/>
            <w:shd w:val="clear" w:color="auto" w:fill="FFFFFF"/>
          </w:tcPr>
          <w:p>
            <w:pPr>
              <w:spacing w:after="20"/>
              <w:jc w:val="right"/>
            </w:pPr>
            <w:r>
              <w:rPr>
                <w:rFonts w:ascii="Calibri" w:hAnsi="Calibri"/>
                <w:b w:val="0"/>
                <w:i w:val="0"/>
                <w:color w:val="2B2F38"/>
                <w:sz w:val="19"/>
              </w:rPr>
              <w:t>From August</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Bring the 36oz Mega Family Pack forward into the FY27 innovation gate</w:t>
            </w:r>
          </w:p>
        </w:tc>
        <w:tc>
          <w:tcPr>
            <w:tcW w:type="dxa" w:w="2281"/>
            <w:shd w:val="clear" w:color="auto" w:fill="F5F7F9"/>
          </w:tcPr>
          <w:p>
            <w:pPr>
              <w:spacing w:after="20"/>
            </w:pPr>
            <w:r>
              <w:rPr>
                <w:rFonts w:ascii="Calibri" w:hAnsi="Calibri"/>
                <w:b w:val="0"/>
                <w:i w:val="0"/>
                <w:color w:val="2B2F38"/>
                <w:sz w:val="19"/>
              </w:rPr>
              <w:t>Innovation / RGM Lead</w:t>
            </w:r>
          </w:p>
        </w:tc>
        <w:tc>
          <w:tcPr>
            <w:tcW w:type="dxa" w:w="1521"/>
            <w:shd w:val="clear" w:color="auto" w:fill="F5F7F9"/>
          </w:tcPr>
          <w:p>
            <w:pPr>
              <w:spacing w:after="20"/>
              <w:jc w:val="right"/>
            </w:pPr>
            <w:r>
              <w:rPr>
                <w:rFonts w:ascii="Calibri" w:hAnsi="Calibri"/>
                <w:b w:val="0"/>
                <w:i w:val="0"/>
                <w:color w:val="2B2F38"/>
                <w:sz w:val="19"/>
              </w:rPr>
              <w:t>Q4 FY26</w:t>
            </w:r>
          </w:p>
        </w:tc>
      </w:tr>
      <w:tr>
        <w:tc>
          <w:tcPr>
            <w:tcW w:type="dxa" w:w="475"/>
            <w:shd w:val="clear" w:color="auto" w:fill="FFFFFF"/>
          </w:tcPr>
          <w:p>
            <w:pPr>
              <w:spacing w:after="20"/>
            </w:pPr>
            <w:r>
              <w:rPr>
                <w:rFonts w:ascii="Calibri" w:hAnsi="Calibri"/>
                <w:b w:val="0"/>
                <w:i w:val="0"/>
                <w:color w:val="2B2F38"/>
                <w:sz w:val="19"/>
              </w:rPr>
              <w:t>5</w:t>
            </w:r>
          </w:p>
        </w:tc>
        <w:tc>
          <w:tcPr>
            <w:tcW w:type="dxa" w:w="5227"/>
            <w:shd w:val="clear" w:color="auto" w:fill="FFFFFF"/>
          </w:tcPr>
          <w:p>
            <w:pPr>
              <w:spacing w:after="20"/>
            </w:pPr>
            <w:r>
              <w:rPr>
                <w:rFonts w:ascii="Calibri" w:hAnsi="Calibri"/>
                <w:b w:val="0"/>
                <w:i w:val="0"/>
                <w:color w:val="2B2F38"/>
                <w:sz w:val="19"/>
              </w:rPr>
              <w:t>Review exception volume and index progress at the January 2027 commercial review</w:t>
            </w:r>
          </w:p>
        </w:tc>
        <w:tc>
          <w:tcPr>
            <w:tcW w:type="dxa" w:w="2281"/>
            <w:shd w:val="clear" w:color="auto" w:fill="FFFFFF"/>
          </w:tcPr>
          <w:p>
            <w:pPr>
              <w:spacing w:after="20"/>
            </w:pPr>
            <w:r>
              <w:rPr>
                <w:rFonts w:ascii="Calibri" w:hAnsi="Calibri"/>
                <w:b w:val="0"/>
                <w:i w:val="0"/>
                <w:color w:val="2B2F38"/>
                <w:sz w:val="19"/>
              </w:rPr>
              <w:t>RGM Lead</w:t>
            </w:r>
          </w:p>
        </w:tc>
        <w:tc>
          <w:tcPr>
            <w:tcW w:type="dxa" w:w="1521"/>
            <w:shd w:val="clear" w:color="auto" w:fill="FFFFFF"/>
          </w:tcPr>
          <w:p>
            <w:pPr>
              <w:spacing w:after="20"/>
              <w:jc w:val="right"/>
            </w:pPr>
            <w:r>
              <w:rPr>
                <w:rFonts w:ascii="Calibri" w:hAnsi="Calibri"/>
                <w:b w:val="0"/>
                <w:i w:val="0"/>
                <w:color w:val="2B2F38"/>
                <w:sz w:val="19"/>
              </w:rPr>
              <w:t>January 2027</w:t>
            </w:r>
          </w:p>
        </w:tc>
      </w:tr>
    </w:tbl>
    <w:p>
      <w:pPr>
        <w:keepNext w:val="0"/>
        <w:spacing w:after="60" w:before="0" w:line="274" w:lineRule="auto"/>
      </w:pPr>
    </w:p>
    <w:p>
      <w:pPr>
        <w:keepNext/>
        <w:spacing w:after="60" w:before="180" w:line="274" w:lineRule="auto"/>
      </w:pPr>
      <w:r>
        <w:rPr>
          <w:rFonts w:ascii="Calibri" w:hAnsi="Calibri"/>
          <w:b/>
          <w:i w:val="0"/>
          <w:color w:val="1F2A44"/>
          <w:sz w:val="23"/>
        </w:rPr>
        <w:t>Approvals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851"/>
        <w:gridCol w:w="4942"/>
        <w:gridCol w:w="1711"/>
      </w:tblGrid>
      <w:tr>
        <w:tc>
          <w:tcPr>
            <w:tcW w:type="dxa" w:w="2851"/>
            <w:shd w:val="clear" w:color="auto" w:fill="1F2A44"/>
          </w:tcPr>
          <w:p>
            <w:pPr>
              <w:spacing w:after="20"/>
            </w:pPr>
            <w:r>
              <w:rPr>
                <w:rFonts w:ascii="Calibri" w:hAnsi="Calibri"/>
                <w:b/>
                <w:i w:val="0"/>
                <w:color w:val="FFFFFF"/>
                <w:sz w:val="18"/>
              </w:rPr>
              <w:t>Approver</w:t>
            </w:r>
          </w:p>
        </w:tc>
        <w:tc>
          <w:tcPr>
            <w:tcW w:type="dxa" w:w="4942"/>
            <w:shd w:val="clear" w:color="auto" w:fill="1F2A44"/>
          </w:tcPr>
          <w:p>
            <w:pPr>
              <w:spacing w:after="20"/>
            </w:pPr>
            <w:r>
              <w:rPr>
                <w:rFonts w:ascii="Calibri" w:hAnsi="Calibri"/>
                <w:b/>
                <w:i w:val="0"/>
                <w:color w:val="FFFFFF"/>
                <w:sz w:val="18"/>
              </w:rPr>
              <w:t>Approving</w:t>
            </w:r>
          </w:p>
        </w:tc>
        <w:tc>
          <w:tcPr>
            <w:tcW w:type="dxa" w:w="1711"/>
            <w:shd w:val="clear" w:color="auto" w:fill="1F2A44"/>
          </w:tcPr>
          <w:p>
            <w:pPr>
              <w:spacing w:after="20"/>
              <w:jc w:val="right"/>
            </w:pPr>
            <w:r>
              <w:rPr>
                <w:rFonts w:ascii="Calibri" w:hAnsi="Calibri"/>
                <w:b/>
                <w:i w:val="0"/>
                <w:color w:val="FFFFFF"/>
                <w:sz w:val="18"/>
              </w:rPr>
              <w:t>Date</w:t>
            </w:r>
          </w:p>
        </w:tc>
      </w:tr>
      <w:tr>
        <w:tc>
          <w:tcPr>
            <w:tcW w:type="dxa" w:w="2851"/>
            <w:shd w:val="clear" w:color="auto" w:fill="FFFFFF"/>
          </w:tcPr>
          <w:p>
            <w:pPr>
              <w:spacing w:after="20"/>
            </w:pPr>
            <w:r>
              <w:rPr>
                <w:rFonts w:ascii="Calibri" w:hAnsi="Calibri"/>
                <w:b w:val="0"/>
                <w:i w:val="0"/>
                <w:color w:val="2B2F38"/>
                <w:sz w:val="19"/>
              </w:rPr>
              <w:t>CFO</w:t>
            </w:r>
          </w:p>
        </w:tc>
        <w:tc>
          <w:tcPr>
            <w:tcW w:type="dxa" w:w="4942"/>
            <w:shd w:val="clear" w:color="auto" w:fill="FFFFFF"/>
          </w:tcPr>
          <w:p>
            <w:pPr>
              <w:spacing w:after="20"/>
            </w:pPr>
            <w:r>
              <w:rPr>
                <w:rFonts w:ascii="Calibri" w:hAnsi="Calibri"/>
                <w:b w:val="0"/>
                <w:i w:val="0"/>
                <w:color w:val="2B2F38"/>
                <w:sz w:val="19"/>
              </w:rPr>
              <w:t>the policy and the exception process</w:t>
            </w:r>
          </w:p>
        </w:tc>
        <w:tc>
          <w:tcPr>
            <w:tcW w:type="dxa" w:w="1711"/>
            <w:shd w:val="clear" w:color="auto" w:fill="FFFFFF"/>
          </w:tcPr>
          <w:p>
            <w:pPr>
              <w:spacing w:after="20"/>
              <w:jc w:val="right"/>
            </w:pPr>
            <w:r>
              <w:rPr>
                <w:rFonts w:ascii="Calibri" w:hAnsi="Calibri"/>
                <w:b w:val="0"/>
                <w:i w:val="0"/>
                <w:color w:val="2B2F38"/>
                <w:sz w:val="19"/>
              </w:rPr>
              <w:t>________</w:t>
            </w:r>
          </w:p>
        </w:tc>
      </w:tr>
      <w:tr>
        <w:tc>
          <w:tcPr>
            <w:tcW w:type="dxa" w:w="2851"/>
            <w:shd w:val="clear" w:color="auto" w:fill="F5F7F9"/>
          </w:tcPr>
          <w:p>
            <w:pPr>
              <w:spacing w:after="20"/>
            </w:pPr>
            <w:r>
              <w:rPr>
                <w:rFonts w:ascii="Calibri" w:hAnsi="Calibri"/>
                <w:b w:val="0"/>
                <w:i w:val="0"/>
                <w:color w:val="2B2F38"/>
                <w:sz w:val="19"/>
              </w:rPr>
              <w:t>RGM Lead</w:t>
            </w:r>
          </w:p>
        </w:tc>
        <w:tc>
          <w:tcPr>
            <w:tcW w:type="dxa" w:w="4942"/>
            <w:shd w:val="clear" w:color="auto" w:fill="F5F7F9"/>
          </w:tcPr>
          <w:p>
            <w:pPr>
              <w:spacing w:after="20"/>
            </w:pPr>
            <w:r>
              <w:rPr>
                <w:rFonts w:ascii="Calibri" w:hAnsi="Calibri"/>
                <w:b w:val="0"/>
                <w:i w:val="0"/>
                <w:color w:val="2B2F38"/>
                <w:sz w:val="19"/>
              </w:rPr>
              <w:t>the ladder and the depth caps</w:t>
            </w:r>
          </w:p>
        </w:tc>
        <w:tc>
          <w:tcPr>
            <w:tcW w:type="dxa" w:w="1711"/>
            <w:shd w:val="clear" w:color="auto" w:fill="F5F7F9"/>
          </w:tcPr>
          <w:p>
            <w:pPr>
              <w:spacing w:after="20"/>
              <w:jc w:val="right"/>
            </w:pPr>
            <w:r>
              <w:rPr>
                <w:rFonts w:ascii="Calibri" w:hAnsi="Calibri"/>
                <w:b w:val="0"/>
                <w:i w:val="0"/>
                <w:color w:val="2B2F38"/>
                <w:sz w:val="19"/>
              </w:rPr>
              <w:t>________</w:t>
            </w:r>
          </w:p>
        </w:tc>
      </w:tr>
      <w:tr>
        <w:tc>
          <w:tcPr>
            <w:tcW w:type="dxa" w:w="2851"/>
            <w:shd w:val="clear" w:color="auto" w:fill="FFFFFF"/>
          </w:tcPr>
          <w:p>
            <w:pPr>
              <w:spacing w:after="20"/>
            </w:pPr>
            <w:r>
              <w:rPr>
                <w:rFonts w:ascii="Calibri" w:hAnsi="Calibri"/>
                <w:b w:val="0"/>
                <w:i w:val="0"/>
                <w:color w:val="2B2F38"/>
                <w:sz w:val="19"/>
              </w:rPr>
              <w:t>Diane Halverson, VP Sales NA</w:t>
            </w:r>
          </w:p>
        </w:tc>
        <w:tc>
          <w:tcPr>
            <w:tcW w:type="dxa" w:w="4942"/>
            <w:shd w:val="clear" w:color="auto" w:fill="FFFFFF"/>
          </w:tcPr>
          <w:p>
            <w:pPr>
              <w:spacing w:after="20"/>
            </w:pPr>
            <w:r>
              <w:rPr>
                <w:rFonts w:ascii="Calibri" w:hAnsi="Calibri"/>
                <w:b w:val="0"/>
                <w:i w:val="0"/>
                <w:color w:val="2B2F38"/>
                <w:sz w:val="19"/>
              </w:rPr>
              <w:t>customer-facing application of the caps</w:t>
            </w:r>
          </w:p>
        </w:tc>
        <w:tc>
          <w:tcPr>
            <w:tcW w:type="dxa" w:w="1711"/>
            <w:shd w:val="clear" w:color="auto" w:fill="FFFFFF"/>
          </w:tcPr>
          <w:p>
            <w:pPr>
              <w:spacing w:after="20"/>
              <w:jc w:val="right"/>
            </w:pPr>
            <w:r>
              <w:rPr>
                <w:rFonts w:ascii="Calibri" w:hAnsi="Calibri"/>
                <w:b w:val="0"/>
                <w:i w:val="0"/>
                <w:color w:val="2B2F38"/>
                <w:sz w:val="19"/>
              </w:rPr>
              <w:t>________</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FY27 RGM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FY2027 Price-Pack Architecture and Trade Guardrails</dc:title>
  <dc:subject/>
  <dc:creator>Acme Corp (synthetic)</dc:creator>
  <cp:keywords/>
  <dc:description>Internal policy document</dc:description>
  <cp:lastModifiedBy/>
  <cp:revision>1</cp:revision>
  <dcterms:created xsi:type="dcterms:W3CDTF">2013-12-23T23:15:00Z</dcterms:created>
  <dcterms:modified xsi:type="dcterms:W3CDTF">2013-12-23T23:15:00Z</dcterms:modified>
  <cp:category/>
</cp:coreProperties>
</file>