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60" w:before="0" w:line="274" w:lineRule="auto"/>
      </w:pPr>
      <w:r>
        <w:rPr>
          <w:rFonts w:ascii="Calibri" w:hAnsi="Calibri"/>
          <w:b/>
          <w:i w:val="0"/>
          <w:color w:val="2E7D75"/>
          <w:sz w:val="19"/>
        </w:rPr>
        <w:t>AGENCY BRIEF · CREATIVE PLATFORM</w:t>
      </w:r>
    </w:p>
    <w:p>
      <w:pPr>
        <w:keepNext w:val="0"/>
        <w:spacing w:after="120" w:before="0" w:line="259" w:lineRule="auto"/>
      </w:pPr>
      <w:r>
        <w:rPr>
          <w:rFonts w:ascii="Calibri" w:hAnsi="Calibri"/>
          <w:b/>
          <w:i w:val="0"/>
          <w:color w:val="1F2A44"/>
          <w:sz w:val="46"/>
        </w:rPr>
        <w:t>Crunchwell FY2027 Creative Platform Brief</w:t>
      </w:r>
    </w:p>
    <w:p>
      <w:pPr>
        <w:keepNext w:val="0"/>
        <w:spacing w:after="160" w:before="0" w:line="288" w:lineRule="auto"/>
      </w:pPr>
      <w:r>
        <w:rPr>
          <w:rFonts w:ascii="Calibri" w:hAnsi="Calibri"/>
          <w:b w:val="0"/>
          <w:i w:val="0"/>
          <w:color w:val="5B6472"/>
          <w:sz w:val="26"/>
        </w:rPr>
        <w:t>The relevance problem, the evidence behind it, and what we need the platform to do about it</w:t>
      </w:r>
    </w:p>
    <w:p>
      <w:pPr>
        <w:spacing w:after="120"/>
        <w:pBdr>
          <w:bottom w:val="single" w:sz="6" w:space="1" w:color="C9D2DB"/>
        </w:pBdr>
      </w:pPr>
    </w:p>
    <w:p>
      <w:pPr>
        <w:keepNext w:val="0"/>
        <w:spacing w:after="40" w:before="0" w:line="274" w:lineRule="auto"/>
      </w:pPr>
      <w:r>
        <w:rPr>
          <w:rFonts w:ascii="Calibri" w:hAnsi="Calibri"/>
          <w:b/>
          <w:i w:val="0"/>
          <w:color w:val="5B6472"/>
          <w:sz w:val="20"/>
        </w:rPr>
        <w:t>Cory Whitman, Brand Director — Crunchwell</w:t>
      </w:r>
    </w:p>
    <w:p>
      <w:pPr>
        <w:keepNext w:val="0"/>
        <w:spacing w:after="20" w:before="0" w:line="274" w:lineRule="auto"/>
      </w:pPr>
      <w:r>
        <w:rPr>
          <w:rFonts w:ascii="Calibri" w:hAnsi="Calibri"/>
          <w:b w:val="0"/>
          <w:i w:val="0"/>
          <w:color w:val="5B6472"/>
          <w:sz w:val="19"/>
        </w:rPr>
        <w:t>To: creative and media agency partners</w:t>
      </w:r>
    </w:p>
    <w:p>
      <w:pPr>
        <w:keepNext w:val="0"/>
        <w:spacing w:after="20" w:before="0" w:line="274" w:lineRule="auto"/>
      </w:pPr>
      <w:r>
        <w:rPr>
          <w:rFonts w:ascii="Calibri" w:hAnsi="Calibri"/>
          <w:b w:val="0"/>
          <w:i w:val="0"/>
          <w:color w:val="5B6472"/>
          <w:sz w:val="19"/>
        </w:rPr>
        <w:t>Brief date: July 2026 · Response due: September 2026</w:t>
      </w:r>
    </w:p>
    <w:p>
      <w:pPr>
        <w:keepNext w:val="0"/>
        <w:spacing w:after="20" w:before="0" w:line="274" w:lineRule="auto"/>
      </w:pPr>
      <w:r>
        <w:rPr>
          <w:rFonts w:ascii="Calibri" w:hAnsi="Calibri"/>
          <w:b w:val="0"/>
          <w:i w:val="0"/>
          <w:color w:val="5B6472"/>
          <w:sz w:val="19"/>
        </w:rPr>
        <w:t>Companion deck: Report 46</w:t>
      </w:r>
    </w:p>
    <w:p>
      <w:pPr>
        <w:keepNext w:val="0"/>
        <w:spacing w:after="200" w:before="0" w:line="274" w:lineRule="auto"/>
      </w:pPr>
      <w:r>
        <w:rPr>
          <w:rFonts w:ascii="Calibri" w:hAnsi="Calibri"/>
          <w:b w:val="0"/>
          <w:i w:val="0"/>
          <w:color w:val="5B6472"/>
          <w:sz w:val="19"/>
        </w:rPr>
        <w:t>Internal creative brief · Internal · Confidential — synthetic demo data</w:t>
      </w:r>
    </w:p>
    <w:p>
      <w:pPr>
        <w:keepNext/>
        <w:spacing w:after="60" w:before="180" w:line="274" w:lineRule="auto"/>
      </w:pPr>
      <w:r>
        <w:rPr>
          <w:rFonts w:ascii="Calibri" w:hAnsi="Calibri"/>
          <w:b/>
          <w:i w:val="0"/>
          <w:color w:val="1F2A44"/>
          <w:sz w:val="23"/>
        </w:rPr>
        <w:t>At a glance</w:t>
      </w:r>
    </w:p>
    <w:tbl>
      <w:tblPr>
        <w:tblW w:w="9504" w:type="dxa"/>
        <w:jc w:val="left"/>
        <w:tblBorders>
          <w:top w:val="single" w:sz="4" w:color="C9D2DB"/>
          <w:left w:val="single" w:sz="4" w:color="C9D2DB"/>
          <w:bottom w:val="single" w:sz="4" w:color="C9D2DB"/>
          <w:right w:val="single" w:sz="4" w:color="C9D2DB"/>
          <w:insideH w:val="single" w:sz="4" w:color="C9D2DB"/>
          <w:insideV w:val="single" w:sz="4" w:color="C9D2DB"/>
        </w:tblBorders>
        <w:tblLayout w:type="fixed"/>
        <w:tblCellMar>
          <w:top w:w="40" w:type="dxa"/>
          <w:left w:w="96" w:type="dxa"/>
          <w:bottom w:w="40" w:type="dxa"/>
          <w:right w:w="96" w:type="dxa"/>
        </w:tblCellMar>
        <w:tblLook w:firstColumn="1" w:firstRow="1" w:lastColumn="0" w:lastRow="0" w:noHBand="0" w:noVBand="1" w:val="04A0"/>
      </w:tblPr>
      <w:tblGrid>
        <w:gridCol w:w="2376"/>
        <w:gridCol w:w="2376"/>
        <w:gridCol w:w="2376"/>
        <w:gridCol w:w="2376"/>
      </w:tblGrid>
      <w:tr>
        <w:tc>
          <w:tcPr>
            <w:tcW w:type="dxa" w:w="2376"/>
            <w:shd w:val="clear" w:color="auto" w:fill="F5F7F9"/>
          </w:tcPr>
          <w:p>
            <w:pPr>
              <w:spacing w:after="40"/>
            </w:pPr>
            <w:r>
              <w:rPr>
                <w:rFonts w:ascii="Calibri" w:hAnsi="Calibri"/>
                <w:b/>
                <w:i w:val="0"/>
                <w:color w:val="1F2A44"/>
                <w:sz w:val="34"/>
              </w:rPr>
              <w:t>-5.9 pp</w:t>
            </w:r>
          </w:p>
          <w:p>
            <w:pPr>
              <w:spacing w:after="40"/>
            </w:pPr>
            <w:r>
              <w:rPr>
                <w:rFonts w:ascii="Calibri" w:hAnsi="Calibri"/>
                <w:b/>
                <w:i w:val="0"/>
                <w:color w:val="5B6472"/>
                <w:sz w:val="16"/>
              </w:rPr>
              <w:t>RELEVANCE</w:t>
            </w:r>
          </w:p>
        </w:tc>
        <w:tc>
          <w:tcPr>
            <w:tcW w:type="dxa" w:w="2376"/>
            <w:shd w:val="clear" w:color="auto" w:fill="F5F7F9"/>
          </w:tcPr>
          <w:p>
            <w:pPr>
              <w:spacing w:after="40"/>
            </w:pPr>
            <w:r>
              <w:rPr>
                <w:rFonts w:ascii="Calibri" w:hAnsi="Calibri"/>
                <w:b/>
                <w:i w:val="0"/>
                <w:color w:val="1F2A44"/>
                <w:sz w:val="34"/>
              </w:rPr>
              <w:t>+0.6 pp</w:t>
            </w:r>
          </w:p>
          <w:p>
            <w:pPr>
              <w:spacing w:after="40"/>
            </w:pPr>
            <w:r>
              <w:rPr>
                <w:rFonts w:ascii="Calibri" w:hAnsi="Calibri"/>
                <w:b/>
                <w:i w:val="0"/>
                <w:color w:val="5B6472"/>
                <w:sz w:val="16"/>
              </w:rPr>
              <w:t>TRUST</w:t>
            </w:r>
          </w:p>
        </w:tc>
        <w:tc>
          <w:tcPr>
            <w:tcW w:type="dxa" w:w="2376"/>
            <w:shd w:val="clear" w:color="auto" w:fill="F5F7F9"/>
          </w:tcPr>
          <w:p>
            <w:pPr>
              <w:spacing w:after="40"/>
            </w:pPr>
            <w:r>
              <w:rPr>
                <w:rFonts w:ascii="Calibri" w:hAnsi="Calibri"/>
                <w:b/>
                <w:i w:val="0"/>
                <w:color w:val="1F2A44"/>
                <w:sz w:val="34"/>
              </w:rPr>
              <w:t>48.8</w:t>
            </w:r>
          </w:p>
          <w:p>
            <w:pPr>
              <w:spacing w:after="40"/>
            </w:pPr>
            <w:r>
              <w:rPr>
                <w:rFonts w:ascii="Calibri" w:hAnsi="Calibri"/>
                <w:b/>
                <w:i w:val="0"/>
                <w:color w:val="5B6472"/>
                <w:sz w:val="16"/>
              </w:rPr>
              <w:t>MODERNITY TODAY</w:t>
            </w:r>
          </w:p>
        </w:tc>
        <w:tc>
          <w:tcPr>
            <w:tcW w:type="dxa" w:w="2376"/>
            <w:shd w:val="clear" w:color="auto" w:fill="F5F7F9"/>
          </w:tcPr>
          <w:p>
            <w:pPr>
              <w:spacing w:after="40"/>
            </w:pPr>
            <w:r>
              <w:rPr>
                <w:rFonts w:ascii="Calibri" w:hAnsi="Calibri"/>
                <w:b/>
                <w:i w:val="0"/>
                <w:color w:val="1F2A44"/>
                <w:sz w:val="34"/>
              </w:rPr>
              <w:t>-0.11</w:t>
            </w:r>
          </w:p>
          <w:p>
            <w:pPr>
              <w:spacing w:after="40"/>
            </w:pPr>
            <w:r>
              <w:rPr>
                <w:rFonts w:ascii="Calibri" w:hAnsi="Calibri"/>
                <w:b/>
                <w:i w:val="0"/>
                <w:color w:val="5B6472"/>
                <w:sz w:val="16"/>
              </w:rPr>
              <w:t>SOCIAL SENTIMENT</w:t>
            </w:r>
          </w:p>
        </w:tc>
      </w:tr>
    </w:tbl>
    <w:p>
      <w:pPr>
        <w:keepNext w:val="0"/>
        <w:spacing w:after="80" w:before="0" w:line="274" w:lineRule="auto"/>
      </w:pPr>
    </w:p>
    <w:p>
      <w:pPr>
        <w:keepNext/>
        <w:spacing w:after="40" w:before="240" w:line="274" w:lineRule="auto"/>
      </w:pPr>
      <w:r>
        <w:rPr>
          <w:rFonts w:ascii="Calibri" w:hAnsi="Calibri"/>
          <w:b/>
          <w:i w:val="0"/>
          <w:color w:val="2E7D75"/>
          <w:sz w:val="18"/>
        </w:rPr>
        <w:t>THE JOB</w:t>
      </w:r>
    </w:p>
    <w:p>
      <w:pPr>
        <w:keepNext/>
        <w:spacing w:after="100" w:before="0" w:line="274" w:lineRule="auto"/>
      </w:pPr>
      <w:r>
        <w:rPr>
          <w:rFonts w:ascii="Calibri" w:hAnsi="Calibri"/>
          <w:b/>
          <w:i w:val="0"/>
          <w:color w:val="1F2A44"/>
          <w:sz w:val="31"/>
        </w:rPr>
        <w:t>1 · What we need the platform to do</w:t>
      </w:r>
    </w:p>
    <w:p>
      <w:pPr>
        <w:keepNext w:val="0"/>
        <w:spacing w:after="160" w:before="0" w:line="293" w:lineRule="auto"/>
      </w:pPr>
      <w:r>
        <w:rPr>
          <w:rFonts w:ascii="Calibri" w:hAnsi="Calibri"/>
          <w:b w:val="0"/>
          <w:i/>
          <w:color w:val="5B6472"/>
          <w:sz w:val="24"/>
        </w:rPr>
        <w:t>Make Crunchwell wanted again. Not trusted — we already have that — wanted.</w:t>
      </w:r>
    </w:p>
    <w:p>
      <w:pPr>
        <w:keepNext w:val="0"/>
        <w:spacing w:after="120" w:before="0" w:line="274" w:lineRule="auto"/>
      </w:pPr>
      <w:r>
        <w:rPr>
          <w:rFonts w:ascii="Calibri" w:hAnsi="Calibri"/>
          <w:b w:val="0"/>
          <w:i w:val="0"/>
          <w:color w:val="2B2F38"/>
          <w:sz w:val="21"/>
        </w:rPr>
        <w:t>Crunchwell has held about 6.0% national value share for six quarters while the category grew and Larksfield's Field &amp; Honey grew 7.4%. The equity tracker explains why. Across six waves, Relevance fell from 68.6 to 62.7 top-two-box, while Trust rose from 72.3 to 72.9 and Quality from 69.3 to 70.3. Modernity sits at 48.8, the weakest attribute in the set.</w:t>
      </w:r>
    </w:p>
    <w:p>
      <w:pPr>
        <w:keepNext w:val="0"/>
        <w:spacing w:after="120" w:before="0" w:line="274" w:lineRule="auto"/>
      </w:pPr>
      <w:r>
        <w:rPr>
          <w:rFonts w:ascii="Calibri" w:hAnsi="Calibri"/>
          <w:b w:val="0"/>
          <w:i w:val="0"/>
          <w:color w:val="2B2F38"/>
          <w:sz w:val="21"/>
        </w:rPr>
        <w:t>That combination has a specific meaning. Consumers believe the product is good and do not think it is for them right now. The platform's job is to close that gap without spending a dollar against attributes we already own.</w:t>
      </w:r>
    </w:p>
    <w:p>
      <w:pPr>
        <w:spacing w:before="80" w:after="40"/>
      </w:pPr>
      <w:r>
        <w:drawing>
          <wp:inline xmlns:a="http://schemas.openxmlformats.org/drawingml/2006/main" xmlns:pic="http://schemas.openxmlformats.org/drawingml/2006/picture">
            <wp:extent cx="6035040" cy="2356691"/>
            <wp:docPr id="1" name="Picture 1"/>
            <wp:cNvGraphicFramePr>
              <a:graphicFrameLocks noChangeAspect="1"/>
            </wp:cNvGraphicFramePr>
            <a:graphic>
              <a:graphicData uri="http://schemas.openxmlformats.org/drawingml/2006/picture">
                <pic:pic>
                  <pic:nvPicPr>
                    <pic:cNvPr id="0" name="r65_equity.png"/>
                    <pic:cNvPicPr/>
                  </pic:nvPicPr>
                  <pic:blipFill>
                    <a:blip r:embed="rId10"/>
                    <a:stretch>
                      <a:fillRect/>
                    </a:stretch>
                  </pic:blipFill>
                  <pic:spPr>
                    <a:xfrm>
                      <a:off x="0" y="0"/>
                      <a:ext cx="6035040" cy="2356691"/>
                    </a:xfrm>
                    <a:prstGeom prst="rect"/>
                  </pic:spPr>
                </pic:pic>
              </a:graphicData>
            </a:graphic>
          </wp:inline>
        </w:drawing>
      </w:r>
    </w:p>
    <w:p>
      <w:pPr>
        <w:keepNext w:val="0"/>
        <w:spacing w:after="160" w:before="0" w:line="274" w:lineRule="auto"/>
      </w:pPr>
      <w:r>
        <w:rPr>
          <w:rFonts w:ascii="Calibri" w:hAnsi="Calibri"/>
          <w:b w:val="0"/>
          <w:i/>
          <w:color w:val="5B6472"/>
          <w:sz w:val="17"/>
        </w:rPr>
        <w:t>Six waves of equity data. Relevance is the line that moves; everything else holds.</w:t>
      </w:r>
    </w:p>
    <w:p>
      <w:pPr>
        <w:keepNext/>
        <w:spacing w:after="40" w:before="240" w:line="274" w:lineRule="auto"/>
      </w:pPr>
      <w:r>
        <w:rPr>
          <w:rFonts w:ascii="Calibri" w:hAnsi="Calibri"/>
          <w:b/>
          <w:i w:val="0"/>
          <w:color w:val="2E7D75"/>
          <w:sz w:val="18"/>
        </w:rPr>
        <w:t>THE EVIDENCE</w:t>
      </w:r>
    </w:p>
    <w:p>
      <w:pPr>
        <w:keepNext/>
        <w:spacing w:after="100" w:before="0" w:line="274" w:lineRule="auto"/>
      </w:pPr>
      <w:r>
        <w:rPr>
          <w:rFonts w:ascii="Calibri" w:hAnsi="Calibri"/>
          <w:b/>
          <w:i w:val="0"/>
          <w:color w:val="1F2A44"/>
          <w:sz w:val="31"/>
        </w:rPr>
        <w:t>2 · Four things we know</w:t>
      </w:r>
    </w:p>
    <w:p>
      <w:pPr>
        <w:keepNext/>
        <w:spacing w:after="60" w:before="180" w:line="274" w:lineRule="auto"/>
      </w:pPr>
      <w:r>
        <w:rPr>
          <w:rFonts w:ascii="Calibri" w:hAnsi="Calibri"/>
          <w:b/>
          <w:i w:val="0"/>
          <w:color w:val="1F2A44"/>
          <w:sz w:val="23"/>
        </w:rPr>
        <w:t>2.1 · The shopper base is turning over</w:t>
      </w:r>
    </w:p>
    <w:p>
      <w:pPr>
        <w:keepNext w:val="0"/>
        <w:spacing w:after="120" w:before="0" w:line="274" w:lineRule="auto"/>
      </w:pPr>
      <w:r>
        <w:rPr>
          <w:rFonts w:ascii="Calibri" w:hAnsi="Calibri"/>
          <w:b w:val="0"/>
          <w:i w:val="0"/>
          <w:color w:val="2B2F38"/>
          <w:sz w:val="21"/>
        </w:rPr>
        <w:t>Loyal-family household penetration moved from 47.9% to 46.6% while cereal-skipper households grew from 18.3% to 20.8%. We are losing breakfast occasions, not brand preference. Nobody is switching away from Crunchwell in anger; they are skipping the meal.</w:t>
      </w:r>
    </w:p>
    <w:p>
      <w:pPr>
        <w:keepNext/>
        <w:spacing w:after="60" w:before="180" w:line="274" w:lineRule="auto"/>
      </w:pPr>
      <w:r>
        <w:rPr>
          <w:rFonts w:ascii="Calibri" w:hAnsi="Calibri"/>
          <w:b/>
          <w:i w:val="0"/>
          <w:color w:val="1F2A44"/>
          <w:sz w:val="23"/>
        </w:rPr>
        <w:t>2.2 · This is not a price problem</w:t>
      </w:r>
    </w:p>
    <w:p>
      <w:pPr>
        <w:keepNext w:val="0"/>
        <w:spacing w:after="120" w:before="0" w:line="274" w:lineRule="auto"/>
      </w:pPr>
      <w:r>
        <w:rPr>
          <w:rFonts w:ascii="Calibri" w:hAnsi="Calibri"/>
          <w:b w:val="0"/>
          <w:i w:val="0"/>
          <w:color w:val="2B2F38"/>
          <w:sz w:val="21"/>
        </w:rPr>
        <w:t>Price-shopper penetration is flat at about 22.8% and measured price sensitivity is stable across waves. A value platform would spend against a problem we do not have.</w:t>
      </w:r>
    </w:p>
    <w:p>
      <w:pPr>
        <w:keepNext/>
        <w:spacing w:after="60" w:before="180" w:line="274" w:lineRule="auto"/>
      </w:pPr>
      <w:r>
        <w:rPr>
          <w:rFonts w:ascii="Calibri" w:hAnsi="Calibri"/>
          <w:b/>
          <w:i w:val="0"/>
          <w:color w:val="1F2A44"/>
          <w:sz w:val="23"/>
        </w:rPr>
        <w:t>2.3 · Louisiana is the acute case</w:t>
      </w:r>
    </w:p>
    <w:p>
      <w:pPr>
        <w:keepNext w:val="0"/>
        <w:spacing w:after="120" w:before="0" w:line="274" w:lineRule="auto"/>
      </w:pPr>
      <w:r>
        <w:rPr>
          <w:rFonts w:ascii="Calibri" w:hAnsi="Calibri"/>
          <w:b w:val="0"/>
          <w:i w:val="0"/>
          <w:color w:val="2B2F38"/>
          <w:sz w:val="21"/>
        </w:rPr>
        <w:t>In the Louisiana DMA, Relevance sits at 58.6 against 62.7 nationally, while Trust holds at 67.4. Eight weeks of empty shelf next to a competitor endcap is a relevance event as much as an availability event. Louisiana is where the platform gets tested first.</w:t>
      </w:r>
    </w:p>
    <w:p>
      <w:pPr>
        <w:keepNext/>
        <w:spacing w:after="60" w:before="180" w:line="274" w:lineRule="auto"/>
      </w:pPr>
      <w:r>
        <w:rPr>
          <w:rFonts w:ascii="Calibri" w:hAnsi="Calibri"/>
          <w:b/>
          <w:i w:val="0"/>
          <w:color w:val="1F2A44"/>
          <w:sz w:val="23"/>
        </w:rPr>
        <w:t>2.4 · The conversation is against us</w:t>
      </w:r>
    </w:p>
    <w:p>
      <w:pPr>
        <w:keepNext w:val="0"/>
        <w:spacing w:after="120" w:before="0" w:line="274" w:lineRule="auto"/>
      </w:pPr>
      <w:r>
        <w:rPr>
          <w:rFonts w:ascii="Calibri" w:hAnsi="Calibri"/>
          <w:b w:val="0"/>
          <w:i w:val="0"/>
          <w:color w:val="2B2F38"/>
          <w:sz w:val="21"/>
        </w:rPr>
        <w:t>Crunchwell social sentiment runs -0.11 on 316 mentions in 2026, while ProteinPeak — the same company, a different mix — runs +0.44.</w:t>
      </w:r>
    </w:p>
    <w:p>
      <w:pPr>
        <w:keepNext/>
        <w:spacing w:after="40" w:before="240" w:line="274" w:lineRule="auto"/>
      </w:pPr>
      <w:r>
        <w:rPr>
          <w:rFonts w:ascii="Calibri" w:hAnsi="Calibri"/>
          <w:b/>
          <w:i w:val="0"/>
          <w:color w:val="2E7D75"/>
          <w:sz w:val="18"/>
        </w:rPr>
        <w:t>THE PLATFORM</w:t>
      </w:r>
    </w:p>
    <w:p>
      <w:pPr>
        <w:keepNext/>
        <w:spacing w:after="100" w:before="0" w:line="274" w:lineRule="auto"/>
      </w:pPr>
      <w:r>
        <w:rPr>
          <w:rFonts w:ascii="Calibri" w:hAnsi="Calibri"/>
          <w:b/>
          <w:i w:val="0"/>
          <w:color w:val="1F2A44"/>
          <w:sz w:val="31"/>
        </w:rPr>
        <w:t>3 · Our recommendation, and what we will judge against</w:t>
      </w:r>
    </w:p>
    <w:p>
      <w:pPr>
        <w:keepNext w:val="0"/>
        <w:spacing w:after="120" w:before="0" w:line="274" w:lineRule="auto"/>
      </w:pPr>
      <w:r>
        <w:rPr>
          <w:rFonts w:ascii="Calibri" w:hAnsi="Calibri"/>
          <w:b w:val="0"/>
          <w:i w:val="0"/>
          <w:color w:val="2B2F38"/>
          <w:sz w:val="21"/>
        </w:rPr>
        <w:t xml:space="preserve">Our working platform is </w:t>
      </w:r>
      <w:r>
        <w:rPr>
          <w:rFonts w:ascii="Calibri" w:hAnsi="Calibri"/>
          <w:b/>
          <w:i w:val="0"/>
          <w:color w:val="2B2F38"/>
          <w:sz w:val="21"/>
        </w:rPr>
        <w:t>"Made for the morning you actually have"</w:t>
      </w:r>
      <w:r>
        <w:rPr>
          <w:rFonts w:ascii="Calibri" w:hAnsi="Calibri"/>
          <w:b w:val="0"/>
          <w:i w:val="0"/>
          <w:color w:val="2B2F38"/>
          <w:sz w:val="21"/>
        </w:rPr>
        <w:t xml:space="preserve"> — a reframe from nostalgic family ritual to the compressed, chaotic weekday morning that the data says people are actually living. We are not wedded to the words. We are wedded to the target: Relevance and Modernity, without touching Trust or Taste.</w:t>
      </w:r>
    </w:p>
    <w:tbl>
      <w:tblPr>
        <w:tblW w:w="9504" w:type="dxa"/>
        <w:jc w:val="left"/>
        <w:tblBorders>
          <w:top w:val="single" w:sz="4" w:color="C9D2DB"/>
          <w:left w:val="single" w:sz="4" w:color="C9D2DB"/>
          <w:bottom w:val="single" w:sz="4" w:color="C9D2DB"/>
          <w:right w:val="single" w:sz="4" w:color="C9D2DB"/>
          <w:insideH w:val="single" w:sz="4" w:color="C9D2DB"/>
          <w:insideV w:val="single" w:sz="4" w:color="C9D2DB"/>
        </w:tblBorders>
        <w:tblLayout w:type="fixed"/>
        <w:tblCellMar>
          <w:top w:w="40" w:type="dxa"/>
          <w:left w:w="72" w:type="dxa"/>
          <w:bottom w:w="40" w:type="dxa"/>
          <w:right w:w="72" w:type="dxa"/>
        </w:tblCellMar>
        <w:tblLook w:firstColumn="1" w:firstRow="1" w:lastColumn="0" w:lastRow="0" w:noHBand="0" w:noVBand="1" w:val="04A0"/>
      </w:tblPr>
      <w:tblGrid>
        <w:gridCol w:w="3231"/>
        <w:gridCol w:w="3231"/>
        <w:gridCol w:w="3041"/>
      </w:tblGrid>
      <w:tr>
        <w:tc>
          <w:tcPr>
            <w:tcW w:type="dxa" w:w="3231"/>
            <w:shd w:val="clear" w:color="auto" w:fill="1F2A44"/>
          </w:tcPr>
          <w:p>
            <w:pPr>
              <w:spacing w:after="20"/>
            </w:pPr>
            <w:r>
              <w:rPr>
                <w:rFonts w:ascii="Calibri" w:hAnsi="Calibri"/>
                <w:b/>
                <w:i w:val="0"/>
                <w:color w:val="FFFFFF"/>
                <w:sz w:val="17"/>
              </w:rPr>
              <w:t>We will judge the platform on</w:t>
            </w:r>
          </w:p>
        </w:tc>
        <w:tc>
          <w:tcPr>
            <w:tcW w:type="dxa" w:w="3231"/>
            <w:shd w:val="clear" w:color="auto" w:fill="1F2A44"/>
          </w:tcPr>
          <w:p>
            <w:pPr>
              <w:spacing w:after="20"/>
            </w:pPr>
            <w:r>
              <w:rPr>
                <w:rFonts w:ascii="Calibri" w:hAnsi="Calibri"/>
                <w:b/>
                <w:i w:val="0"/>
                <w:color w:val="FFFFFF"/>
                <w:sz w:val="17"/>
              </w:rPr>
              <w:t>How</w:t>
            </w:r>
          </w:p>
        </w:tc>
        <w:tc>
          <w:tcPr>
            <w:tcW w:type="dxa" w:w="3041"/>
            <w:shd w:val="clear" w:color="auto" w:fill="1F2A44"/>
          </w:tcPr>
          <w:p>
            <w:pPr>
              <w:spacing w:after="20"/>
            </w:pPr>
            <w:r>
              <w:rPr>
                <w:rFonts w:ascii="Calibri" w:hAnsi="Calibri"/>
                <w:b/>
                <w:i w:val="0"/>
                <w:color w:val="FFFFFF"/>
                <w:sz w:val="17"/>
              </w:rPr>
              <w:t>Standard</w:t>
            </w:r>
          </w:p>
        </w:tc>
      </w:tr>
      <w:tr>
        <w:tc>
          <w:tcPr>
            <w:tcW w:type="dxa" w:w="3231"/>
            <w:shd w:val="clear" w:color="auto" w:fill="FFFFFF"/>
          </w:tcPr>
          <w:p>
            <w:pPr>
              <w:spacing w:after="20"/>
            </w:pPr>
            <w:r>
              <w:rPr>
                <w:rFonts w:ascii="Calibri" w:hAnsi="Calibri"/>
                <w:b w:val="0"/>
                <w:i w:val="0"/>
                <w:color w:val="2B2F38"/>
                <w:sz w:val="18"/>
              </w:rPr>
              <w:t>Does it move Relevance?</w:t>
            </w:r>
          </w:p>
        </w:tc>
        <w:tc>
          <w:tcPr>
            <w:tcW w:type="dxa" w:w="3231"/>
            <w:shd w:val="clear" w:color="auto" w:fill="FFFFFF"/>
          </w:tcPr>
          <w:p>
            <w:pPr>
              <w:spacing w:after="20"/>
            </w:pPr>
            <w:r>
              <w:rPr>
                <w:rFonts w:ascii="Calibri" w:hAnsi="Calibri"/>
                <w:b w:val="0"/>
                <w:i w:val="0"/>
                <w:color w:val="2B2F38"/>
                <w:sz w:val="18"/>
              </w:rPr>
              <w:t>Kantar-shape tracker, quarterly waves</w:t>
            </w:r>
          </w:p>
        </w:tc>
        <w:tc>
          <w:tcPr>
            <w:tcW w:type="dxa" w:w="3041"/>
            <w:shd w:val="clear" w:color="auto" w:fill="FFFFFF"/>
          </w:tcPr>
          <w:p>
            <w:pPr>
              <w:spacing w:after="20"/>
            </w:pPr>
            <w:r>
              <w:rPr>
                <w:rFonts w:ascii="Calibri" w:hAnsi="Calibri"/>
                <w:b w:val="0"/>
                <w:i w:val="0"/>
                <w:color w:val="2B2F38"/>
                <w:sz w:val="18"/>
              </w:rPr>
              <w:t>Relevance 62.7 → 65.5 by FY27Q4</w:t>
            </w:r>
          </w:p>
        </w:tc>
      </w:tr>
      <w:tr>
        <w:tc>
          <w:tcPr>
            <w:tcW w:type="dxa" w:w="3231"/>
            <w:shd w:val="clear" w:color="auto" w:fill="F5F7F9"/>
          </w:tcPr>
          <w:p>
            <w:pPr>
              <w:spacing w:after="20"/>
            </w:pPr>
            <w:r>
              <w:rPr>
                <w:rFonts w:ascii="Calibri" w:hAnsi="Calibri"/>
                <w:b w:val="0"/>
                <w:i w:val="0"/>
                <w:color w:val="2B2F38"/>
                <w:sz w:val="18"/>
              </w:rPr>
              <w:t>Does it move Modernity?</w:t>
            </w:r>
          </w:p>
        </w:tc>
        <w:tc>
          <w:tcPr>
            <w:tcW w:type="dxa" w:w="3231"/>
            <w:shd w:val="clear" w:color="auto" w:fill="F5F7F9"/>
          </w:tcPr>
          <w:p>
            <w:pPr>
              <w:spacing w:after="20"/>
            </w:pPr>
            <w:r>
              <w:rPr>
                <w:rFonts w:ascii="Calibri" w:hAnsi="Calibri"/>
                <w:b w:val="0"/>
                <w:i w:val="0"/>
                <w:color w:val="2B2F38"/>
                <w:sz w:val="18"/>
              </w:rPr>
              <w:t>Same tracker</w:t>
            </w:r>
          </w:p>
        </w:tc>
        <w:tc>
          <w:tcPr>
            <w:tcW w:type="dxa" w:w="3041"/>
            <w:shd w:val="clear" w:color="auto" w:fill="F5F7F9"/>
          </w:tcPr>
          <w:p>
            <w:pPr>
              <w:spacing w:after="20"/>
            </w:pPr>
            <w:r>
              <w:rPr>
                <w:rFonts w:ascii="Calibri" w:hAnsi="Calibri"/>
                <w:b w:val="0"/>
                <w:i w:val="0"/>
                <w:color w:val="2B2F38"/>
                <w:sz w:val="18"/>
              </w:rPr>
              <w:t>Modernity 48.8 → 52</w:t>
            </w:r>
          </w:p>
        </w:tc>
      </w:tr>
      <w:tr>
        <w:tc>
          <w:tcPr>
            <w:tcW w:type="dxa" w:w="3231"/>
            <w:shd w:val="clear" w:color="auto" w:fill="FFFFFF"/>
          </w:tcPr>
          <w:p>
            <w:pPr>
              <w:spacing w:after="20"/>
            </w:pPr>
            <w:r>
              <w:rPr>
                <w:rFonts w:ascii="Calibri" w:hAnsi="Calibri"/>
                <w:b w:val="0"/>
                <w:i w:val="0"/>
                <w:color w:val="2B2F38"/>
                <w:sz w:val="18"/>
              </w:rPr>
              <w:t>Does it protect Trust and Taste?</w:t>
            </w:r>
          </w:p>
        </w:tc>
        <w:tc>
          <w:tcPr>
            <w:tcW w:type="dxa" w:w="3231"/>
            <w:shd w:val="clear" w:color="auto" w:fill="FFFFFF"/>
          </w:tcPr>
          <w:p>
            <w:pPr>
              <w:spacing w:after="20"/>
            </w:pPr>
            <w:r>
              <w:rPr>
                <w:rFonts w:ascii="Calibri" w:hAnsi="Calibri"/>
                <w:b w:val="0"/>
                <w:i w:val="0"/>
                <w:color w:val="2B2F38"/>
                <w:sz w:val="18"/>
              </w:rPr>
              <w:t>Same tracker</w:t>
            </w:r>
          </w:p>
        </w:tc>
        <w:tc>
          <w:tcPr>
            <w:tcW w:type="dxa" w:w="3041"/>
            <w:shd w:val="clear" w:color="auto" w:fill="FFFFFF"/>
          </w:tcPr>
          <w:p>
            <w:pPr>
              <w:spacing w:after="20"/>
            </w:pPr>
            <w:r>
              <w:rPr>
                <w:rFonts w:ascii="Calibri" w:hAnsi="Calibri"/>
                <w:b w:val="0"/>
                <w:i w:val="0"/>
                <w:color w:val="2B2F38"/>
                <w:sz w:val="18"/>
              </w:rPr>
              <w:t>No decline beyond 1 point</w:t>
            </w:r>
          </w:p>
        </w:tc>
      </w:tr>
      <w:tr>
        <w:tc>
          <w:tcPr>
            <w:tcW w:type="dxa" w:w="3231"/>
            <w:shd w:val="clear" w:color="auto" w:fill="F5F7F9"/>
          </w:tcPr>
          <w:p>
            <w:pPr>
              <w:spacing w:after="20"/>
            </w:pPr>
            <w:r>
              <w:rPr>
                <w:rFonts w:ascii="Calibri" w:hAnsi="Calibri"/>
                <w:b w:val="0"/>
                <w:i w:val="0"/>
                <w:color w:val="2B2F38"/>
                <w:sz w:val="18"/>
              </w:rPr>
              <w:t>Does it work in the South?</w:t>
            </w:r>
          </w:p>
        </w:tc>
        <w:tc>
          <w:tcPr>
            <w:tcW w:type="dxa" w:w="3231"/>
            <w:shd w:val="clear" w:color="auto" w:fill="F5F7F9"/>
          </w:tcPr>
          <w:p>
            <w:pPr>
              <w:spacing w:after="20"/>
            </w:pPr>
            <w:r>
              <w:rPr>
                <w:rFonts w:ascii="Calibri" w:hAnsi="Calibri"/>
                <w:b w:val="0"/>
                <w:i w:val="0"/>
                <w:color w:val="2B2F38"/>
                <w:sz w:val="18"/>
              </w:rPr>
              <w:t>LA-DMA cut of the tracker plus share</w:t>
            </w:r>
          </w:p>
        </w:tc>
        <w:tc>
          <w:tcPr>
            <w:tcW w:type="dxa" w:w="3041"/>
            <w:shd w:val="clear" w:color="auto" w:fill="F5F7F9"/>
          </w:tcPr>
          <w:p>
            <w:pPr>
              <w:spacing w:after="20"/>
            </w:pPr>
            <w:r>
              <w:rPr>
                <w:rFonts w:ascii="Calibri" w:hAnsi="Calibri"/>
                <w:b w:val="0"/>
                <w:i w:val="0"/>
                <w:color w:val="2B2F38"/>
                <w:sz w:val="18"/>
              </w:rPr>
              <w:t>LA share 3.0% → 4.5%</w:t>
            </w:r>
          </w:p>
        </w:tc>
      </w:tr>
      <w:tr>
        <w:tc>
          <w:tcPr>
            <w:tcW w:type="dxa" w:w="3231"/>
            <w:shd w:val="clear" w:color="auto" w:fill="FFFFFF"/>
          </w:tcPr>
          <w:p>
            <w:pPr>
              <w:spacing w:after="20"/>
            </w:pPr>
            <w:r>
              <w:rPr>
                <w:rFonts w:ascii="Calibri" w:hAnsi="Calibri"/>
                <w:b w:val="0"/>
                <w:i w:val="0"/>
                <w:color w:val="2B2F38"/>
                <w:sz w:val="18"/>
              </w:rPr>
              <w:t>Does it work creator-first?</w:t>
            </w:r>
          </w:p>
        </w:tc>
        <w:tc>
          <w:tcPr>
            <w:tcW w:type="dxa" w:w="3231"/>
            <w:shd w:val="clear" w:color="auto" w:fill="FFFFFF"/>
          </w:tcPr>
          <w:p>
            <w:pPr>
              <w:spacing w:after="20"/>
            </w:pPr>
            <w:r>
              <w:rPr>
                <w:rFonts w:ascii="Calibri" w:hAnsi="Calibri"/>
                <w:b w:val="0"/>
                <w:i w:val="0"/>
                <w:color w:val="2B2F38"/>
                <w:sz w:val="18"/>
              </w:rPr>
              <w:t>Social sentiment and earned reach</w:t>
            </w:r>
          </w:p>
        </w:tc>
        <w:tc>
          <w:tcPr>
            <w:tcW w:type="dxa" w:w="3041"/>
            <w:shd w:val="clear" w:color="auto" w:fill="FFFFFF"/>
          </w:tcPr>
          <w:p>
            <w:pPr>
              <w:spacing w:after="20"/>
            </w:pPr>
            <w:r>
              <w:rPr>
                <w:rFonts w:ascii="Calibri" w:hAnsi="Calibri"/>
                <w:b w:val="0"/>
                <w:i w:val="0"/>
                <w:color w:val="2B2F38"/>
                <w:sz w:val="18"/>
              </w:rPr>
              <w:t>Sentiment from −0.11 to positive</w:t>
            </w:r>
          </w:p>
        </w:tc>
      </w:tr>
    </w:tbl>
    <w:p>
      <w:pPr>
        <w:keepNext w:val="0"/>
        <w:spacing w:after="60" w:before="0" w:line="274" w:lineRule="auto"/>
      </w:pPr>
    </w:p>
    <w:p>
      <w:pPr>
        <w:keepNext w:val="0"/>
        <w:spacing w:after="160" w:before="0" w:line="274" w:lineRule="auto"/>
      </w:pPr>
      <w:r>
        <w:rPr>
          <w:rFonts w:ascii="Calibri" w:hAnsi="Calibri"/>
          <w:b w:val="0"/>
          <w:i/>
          <w:color w:val="5B6472"/>
          <w:sz w:val="16"/>
        </w:rPr>
        <w:t>Source: Measures from brand_equity_quarterly, syndicated_weekly, social_mentions.</w:t>
      </w:r>
    </w:p>
    <w:p>
      <w:pPr>
        <w:keepNext/>
        <w:spacing w:after="40" w:before="240" w:line="274" w:lineRule="auto"/>
      </w:pPr>
      <w:r>
        <w:rPr>
          <w:rFonts w:ascii="Calibri" w:hAnsi="Calibri"/>
          <w:b/>
          <w:i w:val="0"/>
          <w:color w:val="2E7D75"/>
          <w:sz w:val="18"/>
        </w:rPr>
        <w:t>THE ALTERNATIVES</w:t>
      </w:r>
    </w:p>
    <w:p>
      <w:pPr>
        <w:keepNext/>
        <w:spacing w:after="100" w:before="0" w:line="274" w:lineRule="auto"/>
      </w:pPr>
      <w:r>
        <w:rPr>
          <w:rFonts w:ascii="Calibri" w:hAnsi="Calibri"/>
          <w:b/>
          <w:i w:val="0"/>
          <w:color w:val="1F2A44"/>
          <w:sz w:val="31"/>
        </w:rPr>
        <w:t>4 · Four platforms we have already rejected, and why</w:t>
      </w:r>
    </w:p>
    <w:p>
      <w:pPr>
        <w:pStyle w:val="ListBullet"/>
        <w:spacing w:after="80" w:line="274" w:lineRule="auto"/>
        <w:ind w:left="403" w:hanging="230"/>
      </w:pPr>
      <w:r>
        <w:rPr>
          <w:rFonts w:ascii="Calibri" w:hAnsi="Calibri"/>
          <w:b/>
          <w:i w:val="0"/>
          <w:color w:val="2B2F38"/>
          <w:sz w:val="21"/>
        </w:rPr>
        <w:t>Value.</w:t>
      </w:r>
      <w:r>
        <w:rPr>
          <w:rFonts w:ascii="Calibri" w:hAnsi="Calibri"/>
          <w:b w:val="0"/>
          <w:i w:val="0"/>
          <w:color w:val="2B2F38"/>
          <w:sz w:val="21"/>
        </w:rPr>
        <w:t xml:space="preserve"> Rejected. Price-shopper penetration is flat and price sensitivity is stable. There is no value problem to solve.</w:t>
      </w:r>
    </w:p>
    <w:p>
      <w:pPr>
        <w:pStyle w:val="ListBullet"/>
        <w:spacing w:after="80" w:line="274" w:lineRule="auto"/>
        <w:ind w:left="403" w:hanging="230"/>
      </w:pPr>
      <w:r>
        <w:rPr>
          <w:rFonts w:ascii="Calibri" w:hAnsi="Calibri"/>
          <w:b/>
          <w:i w:val="0"/>
          <w:color w:val="2B2F38"/>
          <w:sz w:val="21"/>
        </w:rPr>
        <w:t>Heritage.</w:t>
      </w:r>
      <w:r>
        <w:rPr>
          <w:rFonts w:ascii="Calibri" w:hAnsi="Calibri"/>
          <w:b w:val="0"/>
          <w:i w:val="0"/>
          <w:color w:val="2B2F38"/>
          <w:sz w:val="21"/>
        </w:rPr>
        <w:t xml:space="preserve"> Rejected. Trust is already at 72.9 and rising. We would be paying to reinforce an asset we own.</w:t>
      </w:r>
    </w:p>
    <w:p>
      <w:pPr>
        <w:pStyle w:val="ListBullet"/>
        <w:spacing w:after="80" w:line="274" w:lineRule="auto"/>
        <w:ind w:left="403" w:hanging="230"/>
      </w:pPr>
      <w:r>
        <w:rPr>
          <w:rFonts w:ascii="Calibri" w:hAnsi="Calibri"/>
          <w:b/>
          <w:i w:val="0"/>
          <w:color w:val="2B2F38"/>
          <w:sz w:val="21"/>
        </w:rPr>
        <w:t>Health.</w:t>
      </w:r>
      <w:r>
        <w:rPr>
          <w:rFonts w:ascii="Calibri" w:hAnsi="Calibri"/>
          <w:b w:val="0"/>
          <w:i w:val="0"/>
          <w:color w:val="2B2F38"/>
          <w:sz w:val="21"/>
        </w:rPr>
        <w:t xml:space="preserve"> Rejected. That is ProteinPeak's and TrailGrove's ground. Crunchwell competing there cannibalises the two brands that are actually growing.</w:t>
      </w:r>
    </w:p>
    <w:p>
      <w:pPr>
        <w:pStyle w:val="ListBullet"/>
        <w:spacing w:after="80" w:line="274" w:lineRule="auto"/>
        <w:ind w:left="403" w:hanging="230"/>
      </w:pPr>
      <w:r>
        <w:rPr>
          <w:rFonts w:ascii="Calibri" w:hAnsi="Calibri"/>
          <w:b/>
          <w:i w:val="0"/>
          <w:color w:val="2B2F38"/>
          <w:sz w:val="21"/>
        </w:rPr>
        <w:t>Kids.</w:t>
      </w:r>
      <w:r>
        <w:rPr>
          <w:rFonts w:ascii="Calibri" w:hAnsi="Calibri"/>
          <w:b w:val="0"/>
          <w:i w:val="0"/>
          <w:color w:val="2B2F38"/>
          <w:sz w:val="21"/>
        </w:rPr>
        <w:t xml:space="preserve"> Rejected. Kids Sweet is a −2.8% segment and the mom-guilt trend runs at 0.68 strength. HoneyNest is being harvested for exactly this reason (Report 69).</w:t>
      </w:r>
    </w:p>
    <w:p>
      <w:pPr>
        <w:keepNext w:val="0"/>
        <w:spacing w:after="40" w:before="0" w:line="274" w:lineRule="auto"/>
      </w:pPr>
    </w:p>
    <w:p>
      <w:pPr>
        <w:keepNext/>
        <w:spacing w:after="40" w:before="240" w:line="274" w:lineRule="auto"/>
      </w:pPr>
      <w:r>
        <w:rPr>
          <w:rFonts w:ascii="Calibri" w:hAnsi="Calibri"/>
          <w:b/>
          <w:i w:val="0"/>
          <w:color w:val="2E7D75"/>
          <w:sz w:val="18"/>
        </w:rPr>
        <w:t>MEDIA IMPLICATIONS</w:t>
      </w:r>
    </w:p>
    <w:p>
      <w:pPr>
        <w:keepNext/>
        <w:spacing w:after="100" w:before="0" w:line="274" w:lineRule="auto"/>
      </w:pPr>
      <w:r>
        <w:rPr>
          <w:rFonts w:ascii="Calibri" w:hAnsi="Calibri"/>
          <w:b/>
          <w:i w:val="0"/>
          <w:color w:val="1F2A44"/>
          <w:sz w:val="31"/>
        </w:rPr>
        <w:t>5 · The mix has to move with the message</w:t>
      </w:r>
    </w:p>
    <w:p>
      <w:pPr>
        <w:spacing w:before="80" w:after="40"/>
      </w:pPr>
      <w:r>
        <w:drawing>
          <wp:inline xmlns:a="http://schemas.openxmlformats.org/drawingml/2006/main" xmlns:pic="http://schemas.openxmlformats.org/drawingml/2006/picture">
            <wp:extent cx="6035040" cy="4297680"/>
            <wp:docPr id="2" name="Picture 2"/>
            <wp:cNvGraphicFramePr>
              <a:graphicFrameLocks noChangeAspect="1"/>
            </wp:cNvGraphicFramePr>
            <a:graphic>
              <a:graphicData uri="http://schemas.openxmlformats.org/drawingml/2006/picture">
                <pic:pic>
                  <pic:nvPicPr>
                    <pic:cNvPr id="0" name="r65_mix.png"/>
                    <pic:cNvPicPr/>
                  </pic:nvPicPr>
                  <pic:blipFill>
                    <a:blip r:embed="rId11"/>
                    <a:stretch>
                      <a:fillRect/>
                    </a:stretch>
                  </pic:blipFill>
                  <pic:spPr>
                    <a:xfrm>
                      <a:off x="0" y="0"/>
                      <a:ext cx="6035040" cy="4297680"/>
                    </a:xfrm>
                    <a:prstGeom prst="rect"/>
                  </pic:spPr>
                </pic:pic>
              </a:graphicData>
            </a:graphic>
          </wp:inline>
        </w:drawing>
      </w:r>
    </w:p>
    <w:p>
      <w:pPr>
        <w:keepNext w:val="0"/>
        <w:spacing w:after="160" w:before="0" w:line="274" w:lineRule="auto"/>
      </w:pPr>
      <w:r>
        <w:rPr>
          <w:rFonts w:ascii="Calibri" w:hAnsi="Calibri"/>
          <w:b w:val="0"/>
          <w:i/>
          <w:color w:val="5B6472"/>
          <w:sz w:val="17"/>
        </w:rPr>
        <w:t>Today's mix is linear-TV-led — reach against a shrinking occasion.</w:t>
      </w:r>
    </w:p>
    <w:p>
      <w:pPr>
        <w:keepNext w:val="0"/>
        <w:spacing w:after="120" w:before="0" w:line="274" w:lineRule="auto"/>
      </w:pPr>
      <w:r>
        <w:rPr>
          <w:rFonts w:ascii="Calibri" w:hAnsi="Calibri"/>
          <w:b w:val="0"/>
          <w:i w:val="0"/>
          <w:color w:val="2B2F38"/>
          <w:sz w:val="21"/>
        </w:rPr>
        <w:t>Crunchwell's A&amp;P runs about $48.7M with Linear TV as the largest single line. The FY27 recommendation holds total A&amp;P flat and moves roughly a third of the TV line into CTV, creator and retail media, with Louisiana weighted at 2.2 times the portfolio ROI on the retail-media leg. Creative needs to be built for that mix from the start, not adapted into it.</w:t>
      </w:r>
    </w:p>
    <w:p>
      <w:pPr>
        <w:keepNext/>
        <w:spacing w:after="40" w:before="240" w:line="274" w:lineRule="auto"/>
      </w:pPr>
      <w:r>
        <w:rPr>
          <w:rFonts w:ascii="Calibri" w:hAnsi="Calibri"/>
          <w:b/>
          <w:i w:val="0"/>
          <w:color w:val="2E7D75"/>
          <w:sz w:val="18"/>
        </w:rPr>
        <w:t>PRACTICALITIES</w:t>
      </w:r>
    </w:p>
    <w:p>
      <w:pPr>
        <w:keepNext/>
        <w:spacing w:after="100" w:before="0" w:line="274" w:lineRule="auto"/>
      </w:pPr>
      <w:r>
        <w:rPr>
          <w:rFonts w:ascii="Calibri" w:hAnsi="Calibri"/>
          <w:b/>
          <w:i w:val="0"/>
          <w:color w:val="1F2A44"/>
          <w:sz w:val="31"/>
        </w:rPr>
        <w:t>6 · Timing, budget and non-negotiables</w:t>
      </w:r>
    </w:p>
    <w:tbl>
      <w:tblPr>
        <w:tblW w:w="9504" w:type="dxa"/>
        <w:jc w:val="left"/>
        <w:tblBorders>
          <w:top w:val="single" w:sz="4" w:color="C9D2DB"/>
          <w:left w:val="single" w:sz="4" w:color="C9D2DB"/>
          <w:bottom w:val="single" w:sz="4" w:color="C9D2DB"/>
          <w:right w:val="single" w:sz="4" w:color="C9D2DB"/>
          <w:insideH w:val="single" w:sz="4" w:color="C9D2DB"/>
          <w:insideV w:val="single" w:sz="4" w:color="C9D2DB"/>
        </w:tblBorders>
        <w:tblLayout w:type="fixed"/>
        <w:tblCellMar>
          <w:top w:w="40" w:type="dxa"/>
          <w:left w:w="72" w:type="dxa"/>
          <w:bottom w:w="40" w:type="dxa"/>
          <w:right w:w="72" w:type="dxa"/>
        </w:tblCellMar>
        <w:tblLook w:firstColumn="1" w:firstRow="1" w:lastColumn="0" w:lastRow="0" w:noHBand="0" w:noVBand="1" w:val="04A0"/>
      </w:tblPr>
      <w:tblGrid>
        <w:gridCol w:w="2661"/>
        <w:gridCol w:w="6843"/>
      </w:tblGrid>
      <w:tr>
        <w:tc>
          <w:tcPr>
            <w:tcW w:type="dxa" w:w="2661"/>
            <w:shd w:val="clear" w:color="auto" w:fill="1F2A44"/>
          </w:tcPr>
          <w:p>
            <w:pPr>
              <w:spacing w:after="20"/>
            </w:pPr>
            <w:r>
              <w:rPr>
                <w:rFonts w:ascii="Calibri" w:hAnsi="Calibri"/>
                <w:b/>
                <w:i w:val="0"/>
                <w:color w:val="FFFFFF"/>
                <w:sz w:val="18"/>
              </w:rPr>
              <w:t>Item</w:t>
            </w:r>
          </w:p>
        </w:tc>
        <w:tc>
          <w:tcPr>
            <w:tcW w:type="dxa" w:w="6843"/>
            <w:shd w:val="clear" w:color="auto" w:fill="1F2A44"/>
          </w:tcPr>
          <w:p>
            <w:pPr>
              <w:spacing w:after="20"/>
            </w:pPr>
            <w:r>
              <w:rPr>
                <w:rFonts w:ascii="Calibri" w:hAnsi="Calibri"/>
                <w:b/>
                <w:i w:val="0"/>
                <w:color w:val="FFFFFF"/>
                <w:sz w:val="18"/>
              </w:rPr>
              <w:t>Detail</w:t>
            </w:r>
          </w:p>
        </w:tc>
      </w:tr>
      <w:tr>
        <w:tc>
          <w:tcPr>
            <w:tcW w:type="dxa" w:w="2661"/>
            <w:shd w:val="clear" w:color="auto" w:fill="FFFFFF"/>
          </w:tcPr>
          <w:p>
            <w:pPr>
              <w:spacing w:after="20"/>
            </w:pPr>
            <w:r>
              <w:rPr>
                <w:rFonts w:ascii="Calibri" w:hAnsi="Calibri"/>
                <w:b w:val="0"/>
                <w:i w:val="0"/>
                <w:color w:val="2B2F38"/>
                <w:sz w:val="19"/>
              </w:rPr>
              <w:t>Platform launch</w:t>
            </w:r>
          </w:p>
        </w:tc>
        <w:tc>
          <w:tcPr>
            <w:tcW w:type="dxa" w:w="6843"/>
            <w:shd w:val="clear" w:color="auto" w:fill="FFFFFF"/>
          </w:tcPr>
          <w:p>
            <w:pPr>
              <w:spacing w:after="20"/>
            </w:pPr>
            <w:r>
              <w:rPr>
                <w:rFonts w:ascii="Calibri" w:hAnsi="Calibri"/>
                <w:b w:val="0"/>
                <w:i w:val="0"/>
                <w:color w:val="2B2F38"/>
                <w:sz w:val="19"/>
              </w:rPr>
              <w:t>With the Crunchwell Pack Refresh, on shelf August 15 2026</w:t>
            </w:r>
          </w:p>
        </w:tc>
      </w:tr>
      <w:tr>
        <w:tc>
          <w:tcPr>
            <w:tcW w:type="dxa" w:w="2661"/>
            <w:shd w:val="clear" w:color="auto" w:fill="F5F7F9"/>
          </w:tcPr>
          <w:p>
            <w:pPr>
              <w:spacing w:after="20"/>
            </w:pPr>
            <w:r>
              <w:rPr>
                <w:rFonts w:ascii="Calibri" w:hAnsi="Calibri"/>
                <w:b w:val="0"/>
                <w:i w:val="0"/>
                <w:color w:val="2B2F38"/>
                <w:sz w:val="19"/>
              </w:rPr>
              <w:t>Working budget</w:t>
            </w:r>
          </w:p>
        </w:tc>
        <w:tc>
          <w:tcPr>
            <w:tcW w:type="dxa" w:w="6843"/>
            <w:shd w:val="clear" w:color="auto" w:fill="F5F7F9"/>
          </w:tcPr>
          <w:p>
            <w:pPr>
              <w:spacing w:after="20"/>
            </w:pPr>
            <w:r>
              <w:rPr>
                <w:rFonts w:ascii="Calibri" w:hAnsi="Calibri"/>
                <w:b w:val="0"/>
                <w:i w:val="0"/>
                <w:color w:val="2B2F38"/>
                <w:sz w:val="19"/>
              </w:rPr>
              <w:t>≈$18M FY27 A&amp;P, total held flat versus FY26</w:t>
            </w:r>
          </w:p>
        </w:tc>
      </w:tr>
      <w:tr>
        <w:tc>
          <w:tcPr>
            <w:tcW w:type="dxa" w:w="2661"/>
            <w:shd w:val="clear" w:color="auto" w:fill="FFFFFF"/>
          </w:tcPr>
          <w:p>
            <w:pPr>
              <w:spacing w:after="20"/>
            </w:pPr>
            <w:r>
              <w:rPr>
                <w:rFonts w:ascii="Calibri" w:hAnsi="Calibri"/>
                <w:b w:val="0"/>
                <w:i w:val="0"/>
                <w:color w:val="2B2F38"/>
                <w:sz w:val="19"/>
              </w:rPr>
              <w:t>Lead market</w:t>
            </w:r>
          </w:p>
        </w:tc>
        <w:tc>
          <w:tcPr>
            <w:tcW w:type="dxa" w:w="6843"/>
            <w:shd w:val="clear" w:color="auto" w:fill="FFFFFF"/>
          </w:tcPr>
          <w:p>
            <w:pPr>
              <w:spacing w:after="20"/>
            </w:pPr>
            <w:r>
              <w:rPr>
                <w:rFonts w:ascii="Calibri" w:hAnsi="Calibri"/>
                <w:b w:val="0"/>
                <w:i w:val="0"/>
                <w:color w:val="2B2F38"/>
                <w:sz w:val="19"/>
              </w:rPr>
              <w:t>Louisiana DMA and the South region</w:t>
            </w:r>
          </w:p>
        </w:tc>
      </w:tr>
      <w:tr>
        <w:tc>
          <w:tcPr>
            <w:tcW w:type="dxa" w:w="2661"/>
            <w:shd w:val="clear" w:color="auto" w:fill="F5F7F9"/>
          </w:tcPr>
          <w:p>
            <w:pPr>
              <w:spacing w:after="20"/>
            </w:pPr>
            <w:r>
              <w:rPr>
                <w:rFonts w:ascii="Calibri" w:hAnsi="Calibri"/>
                <w:b w:val="0"/>
                <w:i w:val="0"/>
                <w:color w:val="2B2F38"/>
                <w:sz w:val="19"/>
              </w:rPr>
              <w:t>Non-negotiable 1</w:t>
            </w:r>
          </w:p>
        </w:tc>
        <w:tc>
          <w:tcPr>
            <w:tcW w:type="dxa" w:w="6843"/>
            <w:shd w:val="clear" w:color="auto" w:fill="F5F7F9"/>
          </w:tcPr>
          <w:p>
            <w:pPr>
              <w:spacing w:after="20"/>
            </w:pPr>
            <w:r>
              <w:rPr>
                <w:rFonts w:ascii="Calibri" w:hAnsi="Calibri"/>
                <w:b w:val="0"/>
                <w:i w:val="0"/>
                <w:color w:val="2B2F38"/>
                <w:sz w:val="19"/>
              </w:rPr>
              <w:t>The pack and the message launch together, not three months apart</w:t>
            </w:r>
          </w:p>
        </w:tc>
      </w:tr>
      <w:tr>
        <w:tc>
          <w:tcPr>
            <w:tcW w:type="dxa" w:w="2661"/>
            <w:shd w:val="clear" w:color="auto" w:fill="FFFFFF"/>
          </w:tcPr>
          <w:p>
            <w:pPr>
              <w:spacing w:after="20"/>
            </w:pPr>
            <w:r>
              <w:rPr>
                <w:rFonts w:ascii="Calibri" w:hAnsi="Calibri"/>
                <w:b w:val="0"/>
                <w:i w:val="0"/>
                <w:color w:val="2B2F38"/>
                <w:sz w:val="19"/>
              </w:rPr>
              <w:t>Non-negotiable 2</w:t>
            </w:r>
          </w:p>
        </w:tc>
        <w:tc>
          <w:tcPr>
            <w:tcW w:type="dxa" w:w="6843"/>
            <w:shd w:val="clear" w:color="auto" w:fill="FFFFFF"/>
          </w:tcPr>
          <w:p>
            <w:pPr>
              <w:spacing w:after="20"/>
            </w:pPr>
            <w:r>
              <w:rPr>
                <w:rFonts w:ascii="Calibri" w:hAnsi="Calibri"/>
                <w:b w:val="0"/>
                <w:i w:val="0"/>
                <w:color w:val="2B2F38"/>
                <w:sz w:val="19"/>
              </w:rPr>
              <w:t>Creator-first execution in the South; TV supports, does not lead</w:t>
            </w:r>
          </w:p>
        </w:tc>
      </w:tr>
      <w:tr>
        <w:tc>
          <w:tcPr>
            <w:tcW w:type="dxa" w:w="2661"/>
            <w:shd w:val="clear" w:color="auto" w:fill="F5F7F9"/>
          </w:tcPr>
          <w:p>
            <w:pPr>
              <w:spacing w:after="20"/>
            </w:pPr>
            <w:r>
              <w:rPr>
                <w:rFonts w:ascii="Calibri" w:hAnsi="Calibri"/>
                <w:b w:val="0"/>
                <w:i w:val="0"/>
                <w:color w:val="2B2F38"/>
                <w:sz w:val="19"/>
              </w:rPr>
              <w:t>Non-negotiable 3</w:t>
            </w:r>
          </w:p>
        </w:tc>
        <w:tc>
          <w:tcPr>
            <w:tcW w:type="dxa" w:w="6843"/>
            <w:shd w:val="clear" w:color="auto" w:fill="F5F7F9"/>
          </w:tcPr>
          <w:p>
            <w:pPr>
              <w:spacing w:after="20"/>
            </w:pPr>
            <w:r>
              <w:rPr>
                <w:rFonts w:ascii="Calibri" w:hAnsi="Calibri"/>
                <w:b w:val="0"/>
                <w:i w:val="0"/>
                <w:color w:val="2B2F38"/>
                <w:sz w:val="19"/>
              </w:rPr>
              <w:t>No value or price messaging in the platform</w:t>
            </w:r>
          </w:p>
        </w:tc>
      </w:tr>
      <w:tr>
        <w:tc>
          <w:tcPr>
            <w:tcW w:type="dxa" w:w="2661"/>
            <w:shd w:val="clear" w:color="auto" w:fill="FFFFFF"/>
          </w:tcPr>
          <w:p>
            <w:pPr>
              <w:spacing w:after="20"/>
            </w:pPr>
            <w:r>
              <w:rPr>
                <w:rFonts w:ascii="Calibri" w:hAnsi="Calibri"/>
                <w:b w:val="0"/>
                <w:i w:val="0"/>
                <w:color w:val="2B2F38"/>
                <w:sz w:val="19"/>
              </w:rPr>
              <w:t>Response due</w:t>
            </w:r>
          </w:p>
        </w:tc>
        <w:tc>
          <w:tcPr>
            <w:tcW w:type="dxa" w:w="6843"/>
            <w:shd w:val="clear" w:color="auto" w:fill="FFFFFF"/>
          </w:tcPr>
          <w:p>
            <w:pPr>
              <w:spacing w:after="20"/>
            </w:pPr>
            <w:r>
              <w:rPr>
                <w:rFonts w:ascii="Calibri" w:hAnsi="Calibri"/>
                <w:b w:val="0"/>
                <w:i w:val="0"/>
                <w:color w:val="2B2F38"/>
                <w:sz w:val="19"/>
              </w:rPr>
              <w:t>September 2026, for FY27 production</w:t>
            </w:r>
          </w:p>
        </w:tc>
      </w:tr>
    </w:tbl>
    <w:p>
      <w:pPr>
        <w:keepNext w:val="0"/>
        <w:spacing w:after="60" w:before="0" w:line="274" w:lineRule="auto"/>
      </w:pPr>
    </w:p>
    <w:tbl>
      <w:tblPr>
        <w:tblW w:w="9504" w:type="dxa"/>
        <w:tblBorders>
          <w:top w:val="none"/>
          <w:left w:val="single" w:sz="24" w:color="B24A2E"/>
          <w:bottom w:val="none"/>
          <w:right w:val="none"/>
          <w:insideH w:val="none"/>
          <w:insideV w:val="none"/>
        </w:tblBorders>
        <w:tblLayout w:type="fixed"/>
        <w:tblCellMar>
          <w:top w:w="40" w:type="dxa"/>
          <w:left w:w="110" w:type="dxa"/>
          <w:bottom w:w="40" w:type="dxa"/>
          <w:right w:w="110" w:type="dxa"/>
        </w:tblCellMar>
        <w:tblLook w:firstColumn="1" w:firstRow="1" w:lastColumn="0" w:lastRow="0" w:noHBand="0" w:noVBand="1" w:val="04A0"/>
      </w:tblPr>
      <w:tblGrid>
        <w:gridCol w:w="9504"/>
      </w:tblGrid>
      <w:tr>
        <w:tc>
          <w:tcPr>
            <w:tcW w:type="dxa" w:w="9504"/>
            <w:shd w:val="clear" w:color="auto" w:fill="F5F7F9"/>
          </w:tcPr>
          <w:p>
            <w:pPr>
              <w:spacing w:after="40"/>
            </w:pPr>
            <w:r>
              <w:rPr>
                <w:rFonts w:ascii="Calibri" w:hAnsi="Calibri"/>
                <w:b/>
                <w:i w:val="0"/>
                <w:color w:val="1F2A44"/>
                <w:sz w:val="21"/>
              </w:rPr>
              <w:t>One request about sequencing</w:t>
            </w:r>
          </w:p>
          <w:p>
            <w:pPr>
              <w:spacing w:after="40" w:line="274" w:lineRule="auto"/>
            </w:pPr>
            <w:r>
              <w:rPr>
                <w:rFonts w:ascii="Calibri" w:hAnsi="Calibri"/>
                <w:b w:val="0"/>
                <w:i w:val="0"/>
                <w:color w:val="2B2F38"/>
                <w:sz w:val="20"/>
              </w:rPr>
              <w:t>In Louisiana, availability comes before message. Fourteen audited doors still sit below 70% on-shelf availability. Media into an empty shelf is wasted, so the local campaign flight follows the merchandising fix rather than leading it.</w:t>
            </w:r>
          </w:p>
        </w:tc>
      </w:tr>
    </w:tbl>
    <w:p>
      <w:pPr>
        <w:keepNext w:val="0"/>
        <w:spacing w:after="80" w:before="0" w:line="274" w:lineRule="auto"/>
      </w:pPr>
    </w:p>
    <w:p>
      <w:pPr>
        <w:keepNext/>
        <w:spacing w:after="60" w:before="180" w:line="274" w:lineRule="auto"/>
      </w:pPr>
      <w:r>
        <w:rPr>
          <w:rFonts w:ascii="Calibri" w:hAnsi="Calibri"/>
          <w:b/>
          <w:i w:val="0"/>
          <w:color w:val="1F2A44"/>
          <w:sz w:val="23"/>
        </w:rPr>
        <w:t>Recommendations &amp; next steps</w:t>
      </w:r>
    </w:p>
    <w:tbl>
      <w:tblPr>
        <w:tblW w:w="9504" w:type="dxa"/>
        <w:jc w:val="left"/>
        <w:tblBorders>
          <w:top w:val="single" w:sz="4" w:color="C9D2DB"/>
          <w:left w:val="single" w:sz="4" w:color="C9D2DB"/>
          <w:bottom w:val="single" w:sz="4" w:color="C9D2DB"/>
          <w:right w:val="single" w:sz="4" w:color="C9D2DB"/>
          <w:insideH w:val="single" w:sz="4" w:color="C9D2DB"/>
          <w:insideV w:val="single" w:sz="4" w:color="C9D2DB"/>
        </w:tblBorders>
        <w:tblLayout w:type="fixed"/>
        <w:tblCellMar>
          <w:top w:w="40" w:type="dxa"/>
          <w:left w:w="72" w:type="dxa"/>
          <w:bottom w:w="40" w:type="dxa"/>
          <w:right w:w="72" w:type="dxa"/>
        </w:tblCellMar>
        <w:tblLook w:firstColumn="1" w:firstRow="1" w:lastColumn="0" w:lastRow="0" w:noHBand="0" w:noVBand="1" w:val="04A0"/>
      </w:tblPr>
      <w:tblGrid>
        <w:gridCol w:w="475"/>
        <w:gridCol w:w="5227"/>
        <w:gridCol w:w="2281"/>
        <w:gridCol w:w="1521"/>
      </w:tblGrid>
      <w:tr>
        <w:tc>
          <w:tcPr>
            <w:tcW w:type="dxa" w:w="475"/>
            <w:shd w:val="clear" w:color="auto" w:fill="1F2A44"/>
          </w:tcPr>
          <w:p>
            <w:pPr>
              <w:spacing w:after="20"/>
            </w:pPr>
            <w:r>
              <w:rPr>
                <w:rFonts w:ascii="Calibri" w:hAnsi="Calibri"/>
                <w:b/>
                <w:i w:val="0"/>
                <w:color w:val="FFFFFF"/>
                <w:sz w:val="18"/>
              </w:rPr>
              <w:t>#</w:t>
            </w:r>
          </w:p>
        </w:tc>
        <w:tc>
          <w:tcPr>
            <w:tcW w:type="dxa" w:w="5227"/>
            <w:shd w:val="clear" w:color="auto" w:fill="1F2A44"/>
          </w:tcPr>
          <w:p>
            <w:pPr>
              <w:spacing w:after="20"/>
            </w:pPr>
            <w:r>
              <w:rPr>
                <w:rFonts w:ascii="Calibri" w:hAnsi="Calibri"/>
                <w:b/>
                <w:i w:val="0"/>
                <w:color w:val="FFFFFF"/>
                <w:sz w:val="18"/>
              </w:rPr>
              <w:t>Action</w:t>
            </w:r>
          </w:p>
        </w:tc>
        <w:tc>
          <w:tcPr>
            <w:tcW w:type="dxa" w:w="2281"/>
            <w:shd w:val="clear" w:color="auto" w:fill="1F2A44"/>
          </w:tcPr>
          <w:p>
            <w:pPr>
              <w:spacing w:after="20"/>
            </w:pPr>
            <w:r>
              <w:rPr>
                <w:rFonts w:ascii="Calibri" w:hAnsi="Calibri"/>
                <w:b/>
                <w:i w:val="0"/>
                <w:color w:val="FFFFFF"/>
                <w:sz w:val="18"/>
              </w:rPr>
              <w:t>Owner</w:t>
            </w:r>
          </w:p>
        </w:tc>
        <w:tc>
          <w:tcPr>
            <w:tcW w:type="dxa" w:w="1521"/>
            <w:shd w:val="clear" w:color="auto" w:fill="1F2A44"/>
          </w:tcPr>
          <w:p>
            <w:pPr>
              <w:spacing w:after="20"/>
              <w:jc w:val="right"/>
            </w:pPr>
            <w:r>
              <w:rPr>
                <w:rFonts w:ascii="Calibri" w:hAnsi="Calibri"/>
                <w:b/>
                <w:i w:val="0"/>
                <w:color w:val="FFFFFF"/>
                <w:sz w:val="18"/>
              </w:rPr>
              <w:t>When</w:t>
            </w:r>
          </w:p>
        </w:tc>
      </w:tr>
      <w:tr>
        <w:tc>
          <w:tcPr>
            <w:tcW w:type="dxa" w:w="475"/>
            <w:shd w:val="clear" w:color="auto" w:fill="FFFFFF"/>
          </w:tcPr>
          <w:p>
            <w:pPr>
              <w:spacing w:after="20"/>
            </w:pPr>
            <w:r>
              <w:rPr>
                <w:rFonts w:ascii="Calibri" w:hAnsi="Calibri"/>
                <w:b w:val="0"/>
                <w:i w:val="0"/>
                <w:color w:val="2B2F38"/>
                <w:sz w:val="19"/>
              </w:rPr>
              <w:t>1</w:t>
            </w:r>
          </w:p>
        </w:tc>
        <w:tc>
          <w:tcPr>
            <w:tcW w:type="dxa" w:w="5227"/>
            <w:shd w:val="clear" w:color="auto" w:fill="FFFFFF"/>
          </w:tcPr>
          <w:p>
            <w:pPr>
              <w:spacing w:after="20"/>
            </w:pPr>
            <w:r>
              <w:rPr>
                <w:rFonts w:ascii="Calibri" w:hAnsi="Calibri"/>
                <w:b w:val="0"/>
                <w:i w:val="0"/>
                <w:color w:val="2B2F38"/>
                <w:sz w:val="19"/>
              </w:rPr>
              <w:t>Agency response against this brief, including one deliberately uncomfortable option</w:t>
            </w:r>
          </w:p>
        </w:tc>
        <w:tc>
          <w:tcPr>
            <w:tcW w:type="dxa" w:w="2281"/>
            <w:shd w:val="clear" w:color="auto" w:fill="FFFFFF"/>
          </w:tcPr>
          <w:p>
            <w:pPr>
              <w:spacing w:after="20"/>
            </w:pPr>
            <w:r>
              <w:rPr>
                <w:rFonts w:ascii="Calibri" w:hAnsi="Calibri"/>
                <w:b w:val="0"/>
                <w:i w:val="0"/>
                <w:color w:val="2B2F38"/>
                <w:sz w:val="19"/>
              </w:rPr>
              <w:t>Agency partners</w:t>
            </w:r>
          </w:p>
        </w:tc>
        <w:tc>
          <w:tcPr>
            <w:tcW w:type="dxa" w:w="1521"/>
            <w:shd w:val="clear" w:color="auto" w:fill="FFFFFF"/>
          </w:tcPr>
          <w:p>
            <w:pPr>
              <w:spacing w:after="20"/>
              <w:jc w:val="right"/>
            </w:pPr>
            <w:r>
              <w:rPr>
                <w:rFonts w:ascii="Calibri" w:hAnsi="Calibri"/>
                <w:b w:val="0"/>
                <w:i w:val="0"/>
                <w:color w:val="2B2F38"/>
                <w:sz w:val="19"/>
              </w:rPr>
              <w:t>September 2026</w:t>
            </w:r>
          </w:p>
        </w:tc>
      </w:tr>
      <w:tr>
        <w:tc>
          <w:tcPr>
            <w:tcW w:type="dxa" w:w="475"/>
            <w:shd w:val="clear" w:color="auto" w:fill="F5F7F9"/>
          </w:tcPr>
          <w:p>
            <w:pPr>
              <w:spacing w:after="20"/>
            </w:pPr>
            <w:r>
              <w:rPr>
                <w:rFonts w:ascii="Calibri" w:hAnsi="Calibri"/>
                <w:b w:val="0"/>
                <w:i w:val="0"/>
                <w:color w:val="2B2F38"/>
                <w:sz w:val="19"/>
              </w:rPr>
              <w:t>2</w:t>
            </w:r>
          </w:p>
        </w:tc>
        <w:tc>
          <w:tcPr>
            <w:tcW w:type="dxa" w:w="5227"/>
            <w:shd w:val="clear" w:color="auto" w:fill="F5F7F9"/>
          </w:tcPr>
          <w:p>
            <w:pPr>
              <w:spacing w:after="20"/>
            </w:pPr>
            <w:r>
              <w:rPr>
                <w:rFonts w:ascii="Calibri" w:hAnsi="Calibri"/>
                <w:b w:val="0"/>
                <w:i w:val="0"/>
                <w:color w:val="2B2F38"/>
                <w:sz w:val="19"/>
              </w:rPr>
              <w:t>Platform selection with VP Brand and the CFO</w:t>
            </w:r>
          </w:p>
        </w:tc>
        <w:tc>
          <w:tcPr>
            <w:tcW w:type="dxa" w:w="2281"/>
            <w:shd w:val="clear" w:color="auto" w:fill="F5F7F9"/>
          </w:tcPr>
          <w:p>
            <w:pPr>
              <w:spacing w:after="20"/>
            </w:pPr>
            <w:r>
              <w:rPr>
                <w:rFonts w:ascii="Calibri" w:hAnsi="Calibri"/>
                <w:b w:val="0"/>
                <w:i w:val="0"/>
                <w:color w:val="2B2F38"/>
                <w:sz w:val="19"/>
              </w:rPr>
              <w:t>Cory Whitman</w:t>
            </w:r>
          </w:p>
        </w:tc>
        <w:tc>
          <w:tcPr>
            <w:tcW w:type="dxa" w:w="1521"/>
            <w:shd w:val="clear" w:color="auto" w:fill="F5F7F9"/>
          </w:tcPr>
          <w:p>
            <w:pPr>
              <w:spacing w:after="20"/>
              <w:jc w:val="right"/>
            </w:pPr>
            <w:r>
              <w:rPr>
                <w:rFonts w:ascii="Calibri" w:hAnsi="Calibri"/>
                <w:b w:val="0"/>
                <w:i w:val="0"/>
                <w:color w:val="2B2F38"/>
                <w:sz w:val="19"/>
              </w:rPr>
              <w:t>By Sep 30 2026</w:t>
            </w:r>
          </w:p>
        </w:tc>
      </w:tr>
      <w:tr>
        <w:tc>
          <w:tcPr>
            <w:tcW w:type="dxa" w:w="475"/>
            <w:shd w:val="clear" w:color="auto" w:fill="FFFFFF"/>
          </w:tcPr>
          <w:p>
            <w:pPr>
              <w:spacing w:after="20"/>
            </w:pPr>
            <w:r>
              <w:rPr>
                <w:rFonts w:ascii="Calibri" w:hAnsi="Calibri"/>
                <w:b w:val="0"/>
                <w:i w:val="0"/>
                <w:color w:val="2B2F38"/>
                <w:sz w:val="19"/>
              </w:rPr>
              <w:t>3</w:t>
            </w:r>
          </w:p>
        </w:tc>
        <w:tc>
          <w:tcPr>
            <w:tcW w:type="dxa" w:w="5227"/>
            <w:shd w:val="clear" w:color="auto" w:fill="FFFFFF"/>
          </w:tcPr>
          <w:p>
            <w:pPr>
              <w:spacing w:after="20"/>
            </w:pPr>
            <w:r>
              <w:rPr>
                <w:rFonts w:ascii="Calibri" w:hAnsi="Calibri"/>
                <w:b w:val="0"/>
                <w:i w:val="0"/>
                <w:color w:val="2B2F38"/>
                <w:sz w:val="19"/>
              </w:rPr>
              <w:t>Production against the Pack Refresh timing</w:t>
            </w:r>
          </w:p>
        </w:tc>
        <w:tc>
          <w:tcPr>
            <w:tcW w:type="dxa" w:w="2281"/>
            <w:shd w:val="clear" w:color="auto" w:fill="FFFFFF"/>
          </w:tcPr>
          <w:p>
            <w:pPr>
              <w:spacing w:after="20"/>
            </w:pPr>
            <w:r>
              <w:rPr>
                <w:rFonts w:ascii="Calibri" w:hAnsi="Calibri"/>
                <w:b w:val="0"/>
                <w:i w:val="0"/>
                <w:color w:val="2B2F38"/>
                <w:sz w:val="19"/>
              </w:rPr>
              <w:t>Agency / Cory Whitman</w:t>
            </w:r>
          </w:p>
        </w:tc>
        <w:tc>
          <w:tcPr>
            <w:tcW w:type="dxa" w:w="1521"/>
            <w:shd w:val="clear" w:color="auto" w:fill="FFFFFF"/>
          </w:tcPr>
          <w:p>
            <w:pPr>
              <w:spacing w:after="20"/>
              <w:jc w:val="right"/>
            </w:pPr>
            <w:r>
              <w:rPr>
                <w:rFonts w:ascii="Calibri" w:hAnsi="Calibri"/>
                <w:b w:val="0"/>
                <w:i w:val="0"/>
                <w:color w:val="2B2F38"/>
                <w:sz w:val="19"/>
              </w:rPr>
              <w:t>Q4 FY26</w:t>
            </w:r>
          </w:p>
        </w:tc>
      </w:tr>
      <w:tr>
        <w:tc>
          <w:tcPr>
            <w:tcW w:type="dxa" w:w="475"/>
            <w:shd w:val="clear" w:color="auto" w:fill="F5F7F9"/>
          </w:tcPr>
          <w:p>
            <w:pPr>
              <w:spacing w:after="20"/>
            </w:pPr>
            <w:r>
              <w:rPr>
                <w:rFonts w:ascii="Calibri" w:hAnsi="Calibri"/>
                <w:b w:val="0"/>
                <w:i w:val="0"/>
                <w:color w:val="2B2F38"/>
                <w:sz w:val="19"/>
              </w:rPr>
              <w:t>4</w:t>
            </w:r>
          </w:p>
        </w:tc>
        <w:tc>
          <w:tcPr>
            <w:tcW w:type="dxa" w:w="5227"/>
            <w:shd w:val="clear" w:color="auto" w:fill="F5F7F9"/>
          </w:tcPr>
          <w:p>
            <w:pPr>
              <w:spacing w:after="20"/>
            </w:pPr>
            <w:r>
              <w:rPr>
                <w:rFonts w:ascii="Calibri" w:hAnsi="Calibri"/>
                <w:b w:val="0"/>
                <w:i w:val="0"/>
                <w:color w:val="2B2F38"/>
                <w:sz w:val="19"/>
              </w:rPr>
              <w:t>Add Relevance and Modernity to the reported brand scorecard</w:t>
            </w:r>
          </w:p>
        </w:tc>
        <w:tc>
          <w:tcPr>
            <w:tcW w:type="dxa" w:w="2281"/>
            <w:shd w:val="clear" w:color="auto" w:fill="F5F7F9"/>
          </w:tcPr>
          <w:p>
            <w:pPr>
              <w:spacing w:after="20"/>
            </w:pPr>
            <w:r>
              <w:rPr>
                <w:rFonts w:ascii="Calibri" w:hAnsi="Calibri"/>
                <w:b w:val="0"/>
                <w:i w:val="0"/>
                <w:color w:val="2B2F38"/>
                <w:sz w:val="19"/>
              </w:rPr>
              <w:t>Insights</w:t>
            </w:r>
          </w:p>
        </w:tc>
        <w:tc>
          <w:tcPr>
            <w:tcW w:type="dxa" w:w="1521"/>
            <w:shd w:val="clear" w:color="auto" w:fill="F5F7F9"/>
          </w:tcPr>
          <w:p>
            <w:pPr>
              <w:spacing w:after="20"/>
              <w:jc w:val="right"/>
            </w:pPr>
            <w:r>
              <w:rPr>
                <w:rFonts w:ascii="Calibri" w:hAnsi="Calibri"/>
                <w:b w:val="0"/>
                <w:i w:val="0"/>
                <w:color w:val="2B2F38"/>
                <w:sz w:val="19"/>
              </w:rPr>
              <w:t>FY27Q1</w:t>
            </w:r>
          </w:p>
        </w:tc>
      </w:tr>
    </w:tbl>
    <w:p>
      <w:pPr>
        <w:keepNext w:val="0"/>
        <w:spacing w:after="60" w:before="0" w:line="274" w:lineRule="auto"/>
      </w:pPr>
    </w:p>
    <w:sectPr w:rsidR="00FC693F" w:rsidRPr="0006063C" w:rsidSect="00034616">
      <w:footerReference w:type="default" r:id="rId9"/>
      <w:pgSz w:w="12240" w:h="15840"/>
      <w:pgMar w:top="1296" w:right="1368" w:bottom="1296"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pPr>
    <w:r>
      <w:rPr>
        <w:rFonts w:ascii="Calibri" w:hAnsi="Calibri"/>
        <w:color w:val="5B6472"/>
        <w:sz w:val="15"/>
      </w:rPr>
      <w:t xml:space="preserve">Internal · Confidential — Acme Corp synthetic demo data. Fictional; not for real decision-making.     </w:t>
    </w:r>
    <w:r>
      <w:rPr>
        <w:rFonts w:ascii="Calibri" w:hAnsi="Calibri"/>
        <w:b/>
        <w:color w:val="5B6472"/>
        <w:sz w:val="15"/>
      </w:rPr>
      <w:t>Crunchwell FY27 brief</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4" w:lineRule="auto"/>
    </w:pPr>
    <w:rPr>
      <w:rFonts w:ascii="Calibri" w:hAnsi="Calibri"/>
      <w:color w:val="2B2F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Crunchwell FY2027 Creative Platform Brief</dc:title>
  <dc:subject/>
  <dc:creator>Acme Corp (synthetic)</dc:creator>
  <cp:keywords/>
  <dc:description>Internal creative brief</dc:description>
  <cp:lastModifiedBy/>
  <cp:revision>1</cp:revision>
  <dcterms:created xsi:type="dcterms:W3CDTF">2013-12-23T23:15:00Z</dcterms:created>
  <dcterms:modified xsi:type="dcterms:W3CDTF">2013-12-23T23:15:00Z</dcterms:modified>
  <cp:category/>
</cp:coreProperties>
</file>