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274" w:lineRule="auto"/>
      </w:pPr>
      <w:r>
        <w:rPr>
          <w:rFonts w:ascii="Calibri" w:hAnsi="Calibri"/>
          <w:b/>
          <w:i w:val="0"/>
          <w:color w:val="2E7D75"/>
          <w:sz w:val="19"/>
        </w:rPr>
        <w:t>COMMITMENT MEMORANDUM</w:t>
      </w:r>
    </w:p>
    <w:p>
      <w:pPr>
        <w:keepNext w:val="0"/>
        <w:spacing w:after="120" w:before="0" w:line="259" w:lineRule="auto"/>
      </w:pPr>
      <w:r>
        <w:rPr>
          <w:rFonts w:ascii="Calibri" w:hAnsi="Calibri"/>
          <w:b/>
          <w:i w:val="0"/>
          <w:color w:val="1F2A44"/>
          <w:sz w:val="46"/>
        </w:rPr>
        <w:t>Crunchwell FY2027–FY2029 Turnaround — Commitment and Stop Conditions</w:t>
      </w:r>
    </w:p>
    <w:p>
      <w:pPr>
        <w:keepNext w:val="0"/>
        <w:spacing w:after="160" w:before="0" w:line="288" w:lineRule="auto"/>
      </w:pPr>
      <w:r>
        <w:rPr>
          <w:rFonts w:ascii="Calibri" w:hAnsi="Calibri"/>
          <w:b w:val="0"/>
          <w:i w:val="0"/>
          <w:color w:val="5B6472"/>
          <w:sz w:val="26"/>
        </w:rPr>
        <w:t>What the brand team is committing to, year by year, and the conditions under which the committee should stop funding it</w:t>
      </w:r>
    </w:p>
    <w:p>
      <w:pPr>
        <w:spacing w:after="120"/>
        <w:pBdr>
          <w:bottom w:val="single" w:sz="6" w:space="1" w:color="C9D2DB"/>
        </w:pBdr>
      </w:pPr>
    </w:p>
    <w:p>
      <w:pPr>
        <w:keepNext w:val="0"/>
        <w:spacing w:after="40" w:before="0" w:line="274" w:lineRule="auto"/>
      </w:pPr>
      <w:r>
        <w:rPr>
          <w:rFonts w:ascii="Calibri" w:hAnsi="Calibri"/>
          <w:b/>
          <w:i w:val="0"/>
          <w:color w:val="5B6472"/>
          <w:sz w:val="20"/>
        </w:rPr>
        <w:t>Cory Whitman, Brand Director — Crunchwell, with Finance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To: Crunchwell SteerCo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Horizon: FY2027–FY2029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Companion deck: Report 47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Version: v1 · July 2026</w:t>
      </w:r>
    </w:p>
    <w:p>
      <w:pPr>
        <w:keepNext w:val="0"/>
        <w:spacing w:after="20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Internal commitment memorandum · Internal · Confidential — synthetic demo data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At a glance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96" w:type="dxa"/>
          <w:bottom w:w="40" w:type="dxa"/>
          <w:right w:w="96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-5.8%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FY26 VARIANCE TO PLAN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4.16%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LOUISIANA SHARE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62.7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RELEVANCE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$318M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FY27 COMMITMENT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COMMITMENT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1 · What we are and are not promising</w:t>
      </w:r>
    </w:p>
    <w:p>
      <w:pPr>
        <w:keepNext w:val="0"/>
        <w:spacing w:after="160" w:before="0" w:line="293" w:lineRule="auto"/>
      </w:pPr>
      <w:r>
        <w:rPr>
          <w:rFonts w:ascii="Calibri" w:hAnsi="Calibri"/>
          <w:b w:val="0"/>
          <w:i/>
          <w:color w:val="5B6472"/>
          <w:sz w:val="24"/>
        </w:rPr>
        <w:t>FY2027 is a stabilisation year. We are not committing to growth until FY2029.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Crunchwell is $312M of FY2025 revenue running between -6.0% and -5.7% against plan every month of FY2026, with a 340 basis point hole in Louisiana and a five-point national relevance decline. Committing to growth in FY2027 would be a commitment we could not keep, and the SteerCo has been clear that it would rather have a hard commitment it can hold us to.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1045"/>
        <w:gridCol w:w="1521"/>
        <w:gridCol w:w="2091"/>
        <w:gridCol w:w="3326"/>
        <w:gridCol w:w="1521"/>
      </w:tblGrid>
      <w:tr>
        <w:tc>
          <w:tcPr>
            <w:tcW w:type="dxa" w:w="1045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Year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Job</w:t>
            </w:r>
          </w:p>
        </w:tc>
        <w:tc>
          <w:tcPr>
            <w:tcW w:type="dxa" w:w="209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Revenue commitment</w:t>
            </w:r>
          </w:p>
        </w:tc>
        <w:tc>
          <w:tcPr>
            <w:tcW w:type="dxa" w:w="3326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Lead measures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FY2027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Stabilise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$318M (+1.9% on FY25 actual)</w:t>
            </w:r>
          </w:p>
        </w:tc>
        <w:tc>
          <w:tcPr>
            <w:tcW w:type="dxa" w:w="332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Louisiana share ≥4.5%; Pack Refresh 90% ACV; trade index ≥0.60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Q4 FY27</w:t>
            </w:r>
          </w:p>
        </w:tc>
      </w:tr>
      <w:tr>
        <w:tc>
          <w:tcPr>
            <w:tcW w:type="dxa" w:w="104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FY2028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Rebuild relevance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$326M (+2.5%)</w:t>
            </w:r>
          </w:p>
        </w:tc>
        <w:tc>
          <w:tcPr>
            <w:tcW w:type="dxa" w:w="3326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Relevance ≥65; Modernity ≥52; Mega Family Pack in market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Q4 FY28</w:t>
            </w:r>
          </w:p>
        </w:tc>
      </w:tr>
      <w:tr>
        <w:tc>
          <w:tcPr>
            <w:tcW w:type="dxa" w:w="104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FY2029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Grow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$336M (+3.1%)</w:t>
            </w:r>
          </w:p>
        </w:tc>
        <w:tc>
          <w:tcPr>
            <w:tcW w:type="dxa" w:w="3326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Trade rate ≤22% of gross; two new SKUs at scale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FY30 planning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Revenue commitments are targets; FY27 matches the AOP brand build (Report 14), measured against the FY25 actual from seeds/skus.csv.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374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6_p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74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The consistency of the gap is the diagnosis: this is base erosion, not promotional timing.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YEAR ONE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2 · The four FY2027 workstreams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2.1 · Pack Refresh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Hero SKUs re-skinned, on shelf August 15 2026, $28M year-one revenue target at a confidence score of 0.82 — the largest near-term bet in the innovation pipeline. It is also the anchor of the Louisiana recovery, which is why the date matters more than the design.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2.2 · Louisiana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Louisiana share bottomed at 3.97% and has recovered to 4.16%. The recovery plan has three legs — facings, availability, demand — in that order, with named owners and a 12-week measurement point (Report 76).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2.3 · Relevance platform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A new creative platform launching with the pack, briefed against Relevance and Modernity rather than value or heritage (Report 65). Creator-first in the South, where the loss is concentrated.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2.4 · Trade reset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Crunchwell carries $92.4M of trade at 24.4% average depth for an index of 0.57. FY2027 caps Mega depth at 20%, reduces event count by about 15% and targets an index of 0.60 — without a list-price change, because Mega elasticity of −1.84 to −2.12 means price cuts buy volume and lose the reference price.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NOT DOING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3 · What we are explicitly not doing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Not cutting list price.</w:t>
      </w:r>
      <w:r>
        <w:rPr>
          <w:rFonts w:ascii="Calibri" w:hAnsi="Calibri"/>
          <w:b w:val="0"/>
          <w:i w:val="0"/>
          <w:color w:val="2B2F38"/>
          <w:sz w:val="21"/>
        </w:rPr>
        <w:t xml:space="preserve"> Elasticity data says it erodes the base permanently.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Not adding Kids Sweet innovation.</w:t>
      </w:r>
      <w:r>
        <w:rPr>
          <w:rFonts w:ascii="Calibri" w:hAnsi="Calibri"/>
          <w:b w:val="0"/>
          <w:i w:val="0"/>
          <w:color w:val="2B2F38"/>
          <w:sz w:val="21"/>
        </w:rPr>
        <w:t xml:space="preserve"> The segment is −2.8%; that is HoneyNest's problem and it is being harvested (Report 69).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Not chasing protein with Crunchwell branding.</w:t>
      </w:r>
      <w:r>
        <w:rPr>
          <w:rFonts w:ascii="Calibri" w:hAnsi="Calibri"/>
          <w:b w:val="0"/>
          <w:i w:val="0"/>
          <w:color w:val="2B2F38"/>
          <w:sz w:val="21"/>
        </w:rPr>
        <w:t xml:space="preserve"> ProteinPeak owns that ground and we would cannibalise the growth brand.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Not defending every DMA.</w:t>
      </w:r>
      <w:r>
        <w:rPr>
          <w:rFonts w:ascii="Calibri" w:hAnsi="Calibri"/>
          <w:b w:val="0"/>
          <w:i w:val="0"/>
          <w:color w:val="2B2F38"/>
          <w:sz w:val="21"/>
        </w:rPr>
        <w:t xml:space="preserve"> The under-indexed Northeast stays under-indexed in FY2027; the South is where the money goes.</w:t>
      </w:r>
    </w:p>
    <w:p>
      <w:pPr>
        <w:keepNext w:val="0"/>
        <w:spacing w:after="4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GEOGRAPHY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4 · Where the brand is actually losing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3041"/>
        <w:gridCol w:w="1521"/>
        <w:gridCol w:w="1521"/>
        <w:gridCol w:w="1331"/>
        <w:gridCol w:w="2091"/>
      </w:tblGrid>
      <w:tr>
        <w:tc>
          <w:tcPr>
            <w:tcW w:type="dxa" w:w="304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Market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FY25 share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Q1 FY26 share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Δ bps</w:t>
            </w:r>
          </w:p>
        </w:tc>
        <w:tc>
          <w:tcPr>
            <w:tcW w:type="dxa" w:w="209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Tier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Louisiana DMA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6.4%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3.0%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-340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Battlefield</w:t>
            </w:r>
          </w:p>
        </w:tc>
      </w:tr>
      <w:tr>
        <w:tc>
          <w:tcPr>
            <w:tcW w:type="dxa" w:w="304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New Orleans-Metairie MSA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5.1%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3.0%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-210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Battlefield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Baton Rouge MSA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5.8%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4.2%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-160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Battlefield</w:t>
            </w:r>
          </w:p>
        </w:tc>
      </w:tr>
      <w:tr>
        <w:tc>
          <w:tcPr>
            <w:tcW w:type="dxa" w:w="304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Lafayette LA MSA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6.2%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5.5%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-70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Watch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Southeast US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4.9%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4.4%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-50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 xml:space="preserve">Under-indexed and </w:t>
            </w:r>
          </w:p>
        </w:tc>
      </w:tr>
      <w:tr>
        <w:tc>
          <w:tcPr>
            <w:tcW w:type="dxa" w:w="304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Mississippi DMA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5.3%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4.9%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-40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Watch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Texas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6.3%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6.0%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-30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Mid-strong</w:t>
            </w:r>
          </w:p>
        </w:tc>
      </w:tr>
      <w:tr>
        <w:tc>
          <w:tcPr>
            <w:tcW w:type="dxa" w:w="304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Birmingham-Tuscaloosa-Anni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5.7%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5.4%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-30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 xml:space="preserve">Leading-indicator 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seed_geographies.</w:t>
      </w:r>
    </w:p>
    <w:tbl>
      <w:tblPr>
        <w:tblW w:w="9504" w:type="dxa"/>
        <w:tblBorders>
          <w:top w:val="none"/>
          <w:left w:val="single" w:sz="24" w:color="B98A2E"/>
          <w:bottom w:val="none"/>
          <w:right w:val="none"/>
          <w:insideH w:val="none"/>
          <w:insideV w:val="non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Birmingham and Memphis</w:t>
            </w:r>
          </w:p>
          <w:p>
            <w:pPr>
              <w:spacing w:after="40" w:line="274" w:lineRule="auto"/>
            </w:pPr>
            <w:r>
              <w:rPr>
                <w:rFonts w:ascii="Calibri" w:hAnsi="Calibri"/>
                <w:b w:val="0"/>
                <w:i w:val="0"/>
                <w:color w:val="2B2F38"/>
                <w:sz w:val="20"/>
              </w:rPr>
              <w:t>Both show the same early pattern Louisiana showed in Q4 2025: a 30 basis point drift with no local event to explain it. Weekly facing and OSA monitoring in both DMAs costs almost nothing and buys a quarter of warning. It is in the FY27 plan.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STOP CONDITIONS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5 · When the committee should stop funding this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These are agreed now, while everyone is calm, so that the conversation in eighteen months is about facts rather than intentions.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661"/>
        <w:gridCol w:w="1521"/>
        <w:gridCol w:w="5322"/>
      </w:tblGrid>
      <w:tr>
        <w:tc>
          <w:tcPr>
            <w:tcW w:type="dxa" w:w="266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Condition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Measured at</w:t>
            </w:r>
          </w:p>
        </w:tc>
        <w:tc>
          <w:tcPr>
            <w:tcW w:type="dxa" w:w="532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Consequence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Louisiana share below 4.0%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Q4 FY2027</w:t>
            </w:r>
          </w:p>
        </w:tc>
        <w:tc>
          <w:tcPr>
            <w:tcW w:type="dxa" w:w="532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Reallocate Louisiana trade and media to ProteinPeak and TrailGrove; Crunchwell to maintenance A&amp;P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Pack Refresh ACV below 80%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Q4 FY2027</w:t>
            </w:r>
          </w:p>
        </w:tc>
        <w:tc>
          <w:tcPr>
            <w:tcW w:type="dxa" w:w="532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No further pack investment before renegotiating at Q1 FY28 line reviews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Relevance below 63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Q4 FY2028</w:t>
            </w:r>
          </w:p>
        </w:tc>
        <w:tc>
          <w:tcPr>
            <w:tcW w:type="dxa" w:w="532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Stop the platform; move Crunchwell to a harvest plan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Trade index below 0.55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Q4 FY2027</w:t>
            </w:r>
          </w:p>
        </w:tc>
        <w:tc>
          <w:tcPr>
            <w:tcW w:type="dxa" w:w="532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Trade Finance takes calendar control from the NAM team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Measures from syndicated_weekly, sku_authorization, brand_equity_quarterly, seed_trade_promo_events_q1_2026.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Decision log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372"/>
        <w:gridCol w:w="2091"/>
        <w:gridCol w:w="1331"/>
        <w:gridCol w:w="1711"/>
      </w:tblGrid>
      <w:tr>
        <w:tc>
          <w:tcPr>
            <w:tcW w:type="dxa" w:w="437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09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Commit to stabilisation, not growth, in FY2027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Cory Whitman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Jul 2026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B24A2E"/>
                <w:sz w:val="19"/>
              </w:rPr>
              <w:t>Action</w:t>
            </w:r>
          </w:p>
        </w:tc>
      </w:tr>
      <w:tr>
        <w:tc>
          <w:tcPr>
            <w:tcW w:type="dxa" w:w="437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Approve the four Year-1 workstreams and owners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SteerCo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Jul 2026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B24A2E"/>
                <w:sz w:val="19"/>
              </w:rPr>
              <w:t>Action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Agree the four stop conditions and consequences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SteerCo / CFO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Jul 2026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B24A2E"/>
                <w:sz w:val="19"/>
              </w:rPr>
              <w:t>Action</w:t>
            </w:r>
          </w:p>
        </w:tc>
      </w:tr>
      <w:tr>
        <w:tc>
          <w:tcPr>
            <w:tcW w:type="dxa" w:w="437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Report Year-1 lead measures monthly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Cory Whitman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Aug 2026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2E7D5B"/>
                <w:sz w:val="19"/>
              </w:rPr>
              <w:t>On track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Recommendations &amp; next steps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75"/>
        <w:gridCol w:w="5227"/>
        <w:gridCol w:w="2281"/>
        <w:gridCol w:w="1521"/>
      </w:tblGrid>
      <w:tr>
        <w:tc>
          <w:tcPr>
            <w:tcW w:type="dxa" w:w="475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227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Approve the three-year staged commitment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SteerCo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July 2026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Hold Pack Refresh at August 15 with weekly stage-gate reporting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Cory Whitman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From Jul 15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Stand up Birmingham and Memphis early-warning monitoring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Jordan Hsu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By Aug 15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4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Review against the four stop conditions at the Q4 FY27 SteerCo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SteerCo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Q4 FY2027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Approvals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851"/>
        <w:gridCol w:w="4942"/>
        <w:gridCol w:w="1711"/>
      </w:tblGrid>
      <w:tr>
        <w:tc>
          <w:tcPr>
            <w:tcW w:type="dxa" w:w="285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Approver</w:t>
            </w:r>
          </w:p>
        </w:tc>
        <w:tc>
          <w:tcPr>
            <w:tcW w:type="dxa" w:w="494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Approving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Cory Whitman, Brand Director</w:t>
            </w:r>
          </w:p>
        </w:tc>
        <w:tc>
          <w:tcPr>
            <w:tcW w:type="dxa" w:w="494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the commitments and lead measures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________</w:t>
            </w:r>
          </w:p>
        </w:tc>
      </w:tr>
      <w:tr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CFO</w:t>
            </w:r>
          </w:p>
        </w:tc>
        <w:tc>
          <w:tcPr>
            <w:tcW w:type="dxa" w:w="494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the stop conditions and their consequences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________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VP Brand</w:t>
            </w:r>
          </w:p>
        </w:tc>
        <w:tc>
          <w:tcPr>
            <w:tcW w:type="dxa" w:w="494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the platform and A&amp;P mix shift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________</w:t>
            </w:r>
          </w:p>
        </w:tc>
      </w:tr>
    </w:tbl>
    <w:p>
      <w:pPr>
        <w:keepNext w:val="0"/>
        <w:spacing w:after="60" w:before="0" w:line="274" w:lineRule="auto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</w:pPr>
    <w:r>
      <w:rPr>
        <w:rFonts w:ascii="Calibri" w:hAnsi="Calibri"/>
        <w:color w:val="5B6472"/>
        <w:sz w:val="15"/>
      </w:rPr>
      <w:t xml:space="preserve">Internal · Confidential — Acme Corp synthetic demo data. Fictional; not for real decision-making.     </w:t>
    </w:r>
    <w:r>
      <w:rPr>
        <w:rFonts w:ascii="Calibri" w:hAnsi="Calibri"/>
        <w:b/>
        <w:color w:val="5B6472"/>
        <w:sz w:val="15"/>
      </w:rPr>
      <w:t>Crunchwell commitment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2B2F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Crunchwell FY2027–FY2029 Turnaround — Commitment and Stop Conditions</dc:title>
  <dc:subject/>
  <dc:creator>Acme Corp (synthetic)</dc:creator>
  <cp:keywords/>
  <dc:description>Internal commitment memorandum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