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STRATEGIC POINT OF VIEW</w:t>
      </w:r>
    </w:p>
    <w:p>
      <w:pPr>
        <w:keepNext w:val="0"/>
        <w:spacing w:after="120" w:before="0" w:line="259" w:lineRule="auto"/>
      </w:pPr>
      <w:r>
        <w:rPr>
          <w:rFonts w:ascii="Calibri" w:hAnsi="Calibri"/>
          <w:b/>
          <w:i w:val="0"/>
          <w:color w:val="1F2A44"/>
          <w:sz w:val="46"/>
        </w:rPr>
        <w:t>GLP-1 and the Cereal Category — What We Believe and What We Are Doing</w:t>
      </w:r>
    </w:p>
    <w:p>
      <w:pPr>
        <w:keepNext w:val="0"/>
        <w:spacing w:after="160" w:before="0" w:line="288" w:lineRule="auto"/>
      </w:pPr>
      <w:r>
        <w:rPr>
          <w:rFonts w:ascii="Calibri" w:hAnsi="Calibri"/>
          <w:b w:val="0"/>
          <w:i w:val="0"/>
          <w:color w:val="5B6472"/>
          <w:sz w:val="26"/>
        </w:rPr>
        <w:t>A structural volume headwind, the evidence we have, the evidence we do not, and the four plan responses</w:t>
      </w:r>
    </w:p>
    <w:p>
      <w:pPr>
        <w:spacing w:after="120"/>
        <w:pBdr>
          <w:bottom w:val="single" w:sz="6" w:space="1" w:color="C9D2DB"/>
        </w:pBdr>
      </w:pPr>
    </w:p>
    <w:p>
      <w:pPr>
        <w:keepNext w:val="0"/>
        <w:spacing w:after="40" w:before="0" w:line="274" w:lineRule="auto"/>
      </w:pPr>
      <w:r>
        <w:rPr>
          <w:rFonts w:ascii="Calibri" w:hAnsi="Calibri"/>
          <w:b/>
          <w:i w:val="0"/>
          <w:color w:val="5B6472"/>
          <w:sz w:val="20"/>
        </w:rPr>
        <w:t>Nina Ortega, VP Consumer Insights, with Strategy</w:t>
      </w:r>
    </w:p>
    <w:p>
      <w:pPr>
        <w:keepNext w:val="0"/>
        <w:spacing w:after="20" w:before="0" w:line="274" w:lineRule="auto"/>
      </w:pPr>
      <w:r>
        <w:rPr>
          <w:rFonts w:ascii="Calibri" w:hAnsi="Calibri"/>
          <w:b w:val="0"/>
          <w:i w:val="0"/>
          <w:color w:val="5B6472"/>
          <w:sz w:val="19"/>
        </w:rPr>
        <w:t>Audience: executive committee and the FY27–FY29 planning process</w:t>
      </w:r>
    </w:p>
    <w:p>
      <w:pPr>
        <w:keepNext w:val="0"/>
        <w:spacing w:after="20" w:before="0" w:line="274" w:lineRule="auto"/>
      </w:pPr>
      <w:r>
        <w:rPr>
          <w:rFonts w:ascii="Calibri" w:hAnsi="Calibri"/>
          <w:b w:val="0"/>
          <w:i w:val="0"/>
          <w:color w:val="5B6472"/>
          <w:sz w:val="19"/>
        </w:rPr>
        <w:t>Version: v1 · July 2026</w:t>
      </w:r>
    </w:p>
    <w:p>
      <w:pPr>
        <w:keepNext w:val="0"/>
        <w:spacing w:after="200" w:before="0" w:line="274" w:lineRule="auto"/>
      </w:pPr>
      <w:r>
        <w:rPr>
          <w:rFonts w:ascii="Calibri" w:hAnsi="Calibri"/>
          <w:b w:val="0"/>
          <w:i w:val="0"/>
          <w:color w:val="5B6472"/>
          <w:sz w:val="19"/>
        </w:rPr>
        <w:t>Internal point of view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0.81</w:t>
            </w:r>
          </w:p>
          <w:p>
            <w:pPr>
              <w:spacing w:after="40"/>
            </w:pPr>
            <w:r>
              <w:rPr>
                <w:rFonts w:ascii="Calibri" w:hAnsi="Calibri"/>
                <w:b/>
                <w:i w:val="0"/>
                <w:color w:val="5B6472"/>
                <w:sz w:val="16"/>
              </w:rPr>
              <w:t>TREND STRENGTH</w:t>
            </w:r>
          </w:p>
        </w:tc>
        <w:tc>
          <w:tcPr>
            <w:tcW w:type="dxa" w:w="2376"/>
            <w:shd w:val="clear" w:color="auto" w:fill="F5F7F9"/>
          </w:tcPr>
          <w:p>
            <w:pPr>
              <w:spacing w:after="40"/>
            </w:pPr>
            <w:r>
              <w:rPr>
                <w:rFonts w:ascii="Calibri" w:hAnsi="Calibri"/>
                <w:b/>
                <w:i w:val="0"/>
                <w:color w:val="1F2A44"/>
                <w:sz w:val="34"/>
              </w:rPr>
              <w:t>Down (volume i</w:t>
            </w:r>
          </w:p>
          <w:p>
            <w:pPr>
              <w:spacing w:after="40"/>
            </w:pPr>
            <w:r>
              <w:rPr>
                <w:rFonts w:ascii="Calibri" w:hAnsi="Calibri"/>
                <w:b/>
                <w:i w:val="0"/>
                <w:color w:val="5B6472"/>
                <w:sz w:val="16"/>
              </w:rPr>
              <w:t>DIRECTION</w:t>
            </w:r>
          </w:p>
        </w:tc>
        <w:tc>
          <w:tcPr>
            <w:tcW w:type="dxa" w:w="2376"/>
            <w:shd w:val="clear" w:color="auto" w:fill="F5F7F9"/>
          </w:tcPr>
          <w:p>
            <w:pPr>
              <w:spacing w:after="40"/>
            </w:pPr>
            <w:r>
              <w:rPr>
                <w:rFonts w:ascii="Calibri" w:hAnsi="Calibri"/>
                <w:b/>
                <w:i w:val="0"/>
                <w:color w:val="1F2A44"/>
                <w:sz w:val="34"/>
              </w:rPr>
              <w:t>+2.5 pp</w:t>
            </w:r>
          </w:p>
          <w:p>
            <w:pPr>
              <w:spacing w:after="40"/>
            </w:pPr>
            <w:r>
              <w:rPr>
                <w:rFonts w:ascii="Calibri" w:hAnsi="Calibri"/>
                <w:b/>
                <w:i w:val="0"/>
                <w:color w:val="5B6472"/>
                <w:sz w:val="16"/>
              </w:rPr>
              <w:t>CEREAL-SKIPPER HOUSEHOLDS</w:t>
            </w:r>
          </w:p>
        </w:tc>
        <w:tc>
          <w:tcPr>
            <w:tcW w:type="dxa" w:w="2376"/>
            <w:shd w:val="clear" w:color="auto" w:fill="F5F7F9"/>
          </w:tcPr>
          <w:p>
            <w:pPr>
              <w:spacing w:after="40"/>
            </w:pPr>
            <w:r>
              <w:rPr>
                <w:rFonts w:ascii="Calibri" w:hAnsi="Calibri"/>
                <w:b/>
                <w:i w:val="0"/>
                <w:color w:val="1F2A44"/>
                <w:sz w:val="34"/>
              </w:rPr>
              <w:t>4</w:t>
            </w:r>
          </w:p>
          <w:p>
            <w:pPr>
              <w:spacing w:after="40"/>
            </w:pPr>
            <w:r>
              <w:rPr>
                <w:rFonts w:ascii="Calibri" w:hAnsi="Calibri"/>
                <w:b/>
                <w:i w:val="0"/>
                <w:color w:val="5B6472"/>
                <w:sz w:val="16"/>
              </w:rPr>
              <w:t>PLAN RESPONSES</w:t>
            </w:r>
          </w:p>
        </w:tc>
      </w:tr>
    </w:tbl>
    <w:p>
      <w:pPr>
        <w:keepNext w:val="0"/>
        <w:spacing w:after="80" w:before="0" w:line="274" w:lineRule="auto"/>
      </w:pPr>
    </w:p>
    <w:p>
      <w:pPr>
        <w:keepNext/>
        <w:spacing w:after="40" w:before="240" w:line="274" w:lineRule="auto"/>
      </w:pPr>
      <w:r>
        <w:rPr>
          <w:rFonts w:ascii="Calibri" w:hAnsi="Calibri"/>
          <w:b/>
          <w:i w:val="0"/>
          <w:color w:val="2E7D75"/>
          <w:sz w:val="18"/>
        </w:rPr>
        <w:t>THE POSITION</w:t>
      </w:r>
    </w:p>
    <w:p>
      <w:pPr>
        <w:keepNext/>
        <w:spacing w:after="100" w:before="0" w:line="274" w:lineRule="auto"/>
      </w:pPr>
      <w:r>
        <w:rPr>
          <w:rFonts w:ascii="Calibri" w:hAnsi="Calibri"/>
          <w:b/>
          <w:i w:val="0"/>
          <w:color w:val="1F2A44"/>
          <w:sz w:val="31"/>
        </w:rPr>
        <w:t>1 · What we believe</w:t>
      </w:r>
    </w:p>
    <w:p>
      <w:pPr>
        <w:keepNext w:val="0"/>
        <w:spacing w:after="160" w:before="0" w:line="293" w:lineRule="auto"/>
      </w:pPr>
      <w:r>
        <w:rPr>
          <w:rFonts w:ascii="Calibri" w:hAnsi="Calibri"/>
          <w:b w:val="0"/>
          <w:i/>
          <w:color w:val="5B6472"/>
          <w:sz w:val="24"/>
        </w:rPr>
        <w:t>GLP-1 adoption is a slow, structural volume headwind for family-size cereal — not a demand shock, and not a reason to reprice the portfolio.</w:t>
      </w:r>
    </w:p>
    <w:p>
      <w:pPr>
        <w:keepNext w:val="0"/>
        <w:spacing w:after="120" w:before="0" w:line="274" w:lineRule="auto"/>
      </w:pPr>
      <w:r>
        <w:rPr>
          <w:rFonts w:ascii="Calibri" w:hAnsi="Calibri"/>
          <w:b w:val="0"/>
          <w:i w:val="0"/>
          <w:color w:val="2B2F38"/>
          <w:sz w:val="21"/>
        </w:rPr>
        <w:t>The GLP-1 appetite shift registers at 0.81 strength in our trend framework with a direction of "Down (volume impact)", affecting RTE Cereal+Bar+Hot Cereal. It sits alongside — and partly explains — the most important number in our panel data: cereal-skipper household penetration rose from 18.3% to 20.8% over six quarters, while loyal-family penetration fell from 47.9% to 46.6%.</w:t>
      </w:r>
    </w:p>
    <w:p>
      <w:pPr>
        <w:keepNext w:val="0"/>
        <w:spacing w:after="120" w:before="0" w:line="274" w:lineRule="auto"/>
      </w:pPr>
      <w:r>
        <w:rPr>
          <w:rFonts w:ascii="Calibri" w:hAnsi="Calibri"/>
          <w:b w:val="0"/>
          <w:i w:val="0"/>
          <w:color w:val="2B2F38"/>
          <w:sz w:val="21"/>
        </w:rPr>
        <w:t>We are deliberately not claiming a causal attribution. We cannot separate GLP-1 effects from broader occasion loss with the instruments we have. What we can say is that both point the same direction and both argue for the same set of responses, which is enough to plan against.</w:t>
      </w:r>
    </w:p>
    <w:p>
      <w:pPr>
        <w:spacing w:before="80" w:after="40"/>
      </w:pPr>
      <w:r>
        <w:drawing>
          <wp:inline xmlns:a="http://schemas.openxmlformats.org/drawingml/2006/main" xmlns:pic="http://schemas.openxmlformats.org/drawingml/2006/picture">
            <wp:extent cx="6035040" cy="2372615"/>
            <wp:docPr id="1" name="Picture 1"/>
            <wp:cNvGraphicFramePr>
              <a:graphicFrameLocks noChangeAspect="1"/>
            </wp:cNvGraphicFramePr>
            <a:graphic>
              <a:graphicData uri="http://schemas.openxmlformats.org/drawingml/2006/picture">
                <pic:pic>
                  <pic:nvPicPr>
                    <pic:cNvPr id="0" name="r70_cohorts.png"/>
                    <pic:cNvPicPr/>
                  </pic:nvPicPr>
                  <pic:blipFill>
                    <a:blip r:embed="rId10"/>
                    <a:stretch>
                      <a:fillRect/>
                    </a:stretch>
                  </pic:blipFill>
                  <pic:spPr>
                    <a:xfrm>
                      <a:off x="0" y="0"/>
                      <a:ext cx="6035040" cy="2372615"/>
                    </a:xfrm>
                    <a:prstGeom prst="rect"/>
                  </pic:spPr>
                </pic:pic>
              </a:graphicData>
            </a:graphic>
          </wp:inline>
        </w:drawing>
      </w:r>
    </w:p>
    <w:p>
      <w:pPr>
        <w:keepNext w:val="0"/>
        <w:spacing w:after="160" w:before="0" w:line="274" w:lineRule="auto"/>
      </w:pPr>
      <w:r>
        <w:rPr>
          <w:rFonts w:ascii="Calibri" w:hAnsi="Calibri"/>
          <w:b w:val="0"/>
          <w:i/>
          <w:color w:val="5B6472"/>
          <w:sz w:val="17"/>
        </w:rPr>
        <w:t>Cereal-skipper and protein-returner households grow; loyal-family erodes. The occasion is the battleground.</w:t>
      </w:r>
    </w:p>
    <w:p>
      <w:pPr>
        <w:keepNext/>
        <w:spacing w:after="40" w:before="240" w:line="274" w:lineRule="auto"/>
      </w:pPr>
      <w:r>
        <w:rPr>
          <w:rFonts w:ascii="Calibri" w:hAnsi="Calibri"/>
          <w:b/>
          <w:i w:val="0"/>
          <w:color w:val="2E7D75"/>
          <w:sz w:val="18"/>
        </w:rPr>
        <w:t>THE EVIDENCE</w:t>
      </w:r>
    </w:p>
    <w:p>
      <w:pPr>
        <w:keepNext/>
        <w:spacing w:after="100" w:before="0" w:line="274" w:lineRule="auto"/>
      </w:pPr>
      <w:r>
        <w:rPr>
          <w:rFonts w:ascii="Calibri" w:hAnsi="Calibri"/>
          <w:b/>
          <w:i w:val="0"/>
          <w:color w:val="1F2A44"/>
          <w:sz w:val="31"/>
        </w:rPr>
        <w:t>2 · What we have and what we do not</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471"/>
        <w:gridCol w:w="4372"/>
        <w:gridCol w:w="2661"/>
      </w:tblGrid>
      <w:tr>
        <w:tc>
          <w:tcPr>
            <w:tcW w:type="dxa" w:w="2471"/>
            <w:shd w:val="clear" w:color="auto" w:fill="1F2A44"/>
          </w:tcPr>
          <w:p>
            <w:pPr>
              <w:spacing w:after="20"/>
            </w:pPr>
            <w:r>
              <w:rPr>
                <w:rFonts w:ascii="Calibri" w:hAnsi="Calibri"/>
                <w:b/>
                <w:i w:val="0"/>
                <w:color w:val="FFFFFF"/>
                <w:sz w:val="17"/>
              </w:rPr>
              <w:t>Evidence</w:t>
            </w:r>
          </w:p>
        </w:tc>
        <w:tc>
          <w:tcPr>
            <w:tcW w:type="dxa" w:w="4372"/>
            <w:shd w:val="clear" w:color="auto" w:fill="1F2A44"/>
          </w:tcPr>
          <w:p>
            <w:pPr>
              <w:spacing w:after="20"/>
            </w:pPr>
            <w:r>
              <w:rPr>
                <w:rFonts w:ascii="Calibri" w:hAnsi="Calibri"/>
                <w:b/>
                <w:i w:val="0"/>
                <w:color w:val="FFFFFF"/>
                <w:sz w:val="17"/>
              </w:rPr>
              <w:t>What it shows</w:t>
            </w:r>
          </w:p>
        </w:tc>
        <w:tc>
          <w:tcPr>
            <w:tcW w:type="dxa" w:w="2661"/>
            <w:shd w:val="clear" w:color="auto" w:fill="1F2A44"/>
          </w:tcPr>
          <w:p>
            <w:pPr>
              <w:spacing w:after="20"/>
            </w:pPr>
            <w:r>
              <w:rPr>
                <w:rFonts w:ascii="Calibri" w:hAnsi="Calibri"/>
                <w:b/>
                <w:i w:val="0"/>
                <w:color w:val="FFFFFF"/>
                <w:sz w:val="17"/>
              </w:rPr>
              <w:t>Confidence</w:t>
            </w:r>
          </w:p>
        </w:tc>
      </w:tr>
      <w:tr>
        <w:tc>
          <w:tcPr>
            <w:tcW w:type="dxa" w:w="2471"/>
            <w:shd w:val="clear" w:color="auto" w:fill="FFFFFF"/>
          </w:tcPr>
          <w:p>
            <w:pPr>
              <w:spacing w:after="20"/>
            </w:pPr>
            <w:r>
              <w:rPr>
                <w:rFonts w:ascii="Calibri" w:hAnsi="Calibri"/>
                <w:b w:val="0"/>
                <w:i w:val="0"/>
                <w:color w:val="2B2F38"/>
                <w:sz w:val="18"/>
              </w:rPr>
              <w:t>Trend framework</w:t>
            </w:r>
          </w:p>
        </w:tc>
        <w:tc>
          <w:tcPr>
            <w:tcW w:type="dxa" w:w="4372"/>
            <w:shd w:val="clear" w:color="auto" w:fill="FFFFFF"/>
          </w:tcPr>
          <w:p>
            <w:pPr>
              <w:spacing w:after="20"/>
            </w:pPr>
            <w:r>
              <w:rPr>
                <w:rFonts w:ascii="Calibri" w:hAnsi="Calibri"/>
                <w:b w:val="0"/>
                <w:i w:val="0"/>
                <w:color w:val="2B2F38"/>
                <w:sz w:val="18"/>
              </w:rPr>
              <w:t>GLP-1 at 0.81 strength, downward volume direction</w:t>
            </w:r>
          </w:p>
        </w:tc>
        <w:tc>
          <w:tcPr>
            <w:tcW w:type="dxa" w:w="2661"/>
            <w:shd w:val="clear" w:color="auto" w:fill="FFFFFF"/>
          </w:tcPr>
          <w:p>
            <w:pPr>
              <w:spacing w:after="20"/>
            </w:pPr>
            <w:r>
              <w:rPr>
                <w:rFonts w:ascii="Calibri" w:hAnsi="Calibri"/>
                <w:b w:val="0"/>
                <w:i w:val="0"/>
                <w:color w:val="2B2F38"/>
                <w:sz w:val="18"/>
              </w:rPr>
              <w:t>Medium — directional, not quantified</w:t>
            </w:r>
          </w:p>
        </w:tc>
      </w:tr>
      <w:tr>
        <w:tc>
          <w:tcPr>
            <w:tcW w:type="dxa" w:w="2471"/>
            <w:shd w:val="clear" w:color="auto" w:fill="F5F7F9"/>
          </w:tcPr>
          <w:p>
            <w:pPr>
              <w:spacing w:after="20"/>
            </w:pPr>
            <w:r>
              <w:rPr>
                <w:rFonts w:ascii="Calibri" w:hAnsi="Calibri"/>
                <w:b w:val="0"/>
                <w:i w:val="0"/>
                <w:color w:val="2B2F38"/>
                <w:sz w:val="18"/>
              </w:rPr>
              <w:t>Kantar-shape cohort panel</w:t>
            </w:r>
          </w:p>
        </w:tc>
        <w:tc>
          <w:tcPr>
            <w:tcW w:type="dxa" w:w="4372"/>
            <w:shd w:val="clear" w:color="auto" w:fill="F5F7F9"/>
          </w:tcPr>
          <w:p>
            <w:pPr>
              <w:spacing w:after="20"/>
            </w:pPr>
            <w:r>
              <w:rPr>
                <w:rFonts w:ascii="Calibri" w:hAnsi="Calibri"/>
                <w:b w:val="0"/>
                <w:i w:val="0"/>
                <w:color w:val="2B2F38"/>
                <w:sz w:val="18"/>
              </w:rPr>
              <w:t>Cereal-skipper +2.5 pp over six quarters</w:t>
            </w:r>
          </w:p>
        </w:tc>
        <w:tc>
          <w:tcPr>
            <w:tcW w:type="dxa" w:w="2661"/>
            <w:shd w:val="clear" w:color="auto" w:fill="F5F7F9"/>
          </w:tcPr>
          <w:p>
            <w:pPr>
              <w:spacing w:after="20"/>
            </w:pPr>
            <w:r>
              <w:rPr>
                <w:rFonts w:ascii="Calibri" w:hAnsi="Calibri"/>
                <w:b w:val="0"/>
                <w:i w:val="0"/>
                <w:color w:val="2B2F38"/>
                <w:sz w:val="18"/>
              </w:rPr>
              <w:t>High on the measure, low on the cause</w:t>
            </w:r>
          </w:p>
        </w:tc>
      </w:tr>
      <w:tr>
        <w:tc>
          <w:tcPr>
            <w:tcW w:type="dxa" w:w="2471"/>
            <w:shd w:val="clear" w:color="auto" w:fill="FFFFFF"/>
          </w:tcPr>
          <w:p>
            <w:pPr>
              <w:spacing w:after="20"/>
            </w:pPr>
            <w:r>
              <w:rPr>
                <w:rFonts w:ascii="Calibri" w:hAnsi="Calibri"/>
                <w:b w:val="0"/>
                <w:i w:val="0"/>
                <w:color w:val="2B2F38"/>
                <w:sz w:val="18"/>
              </w:rPr>
              <w:t>Category size data</w:t>
            </w:r>
          </w:p>
        </w:tc>
        <w:tc>
          <w:tcPr>
            <w:tcW w:type="dxa" w:w="4372"/>
            <w:shd w:val="clear" w:color="auto" w:fill="FFFFFF"/>
          </w:tcPr>
          <w:p>
            <w:pPr>
              <w:spacing w:after="20"/>
            </w:pPr>
            <w:r>
              <w:rPr>
                <w:rFonts w:ascii="Calibri" w:hAnsi="Calibri"/>
                <w:b w:val="0"/>
                <w:i w:val="0"/>
                <w:color w:val="2B2F38"/>
                <w:sz w:val="18"/>
              </w:rPr>
              <w:t>RTE total US growing on value (+1.3%) with softer unit growth</w:t>
            </w:r>
          </w:p>
        </w:tc>
        <w:tc>
          <w:tcPr>
            <w:tcW w:type="dxa" w:w="2661"/>
            <w:shd w:val="clear" w:color="auto" w:fill="FFFFFF"/>
          </w:tcPr>
          <w:p>
            <w:pPr>
              <w:spacing w:after="20"/>
            </w:pPr>
            <w:r>
              <w:rPr>
                <w:rFonts w:ascii="Calibri" w:hAnsi="Calibri"/>
                <w:b w:val="0"/>
                <w:i w:val="0"/>
                <w:color w:val="2B2F38"/>
                <w:sz w:val="18"/>
              </w:rPr>
              <w:t>High</w:t>
            </w:r>
          </w:p>
        </w:tc>
      </w:tr>
      <w:tr>
        <w:tc>
          <w:tcPr>
            <w:tcW w:type="dxa" w:w="2471"/>
            <w:shd w:val="clear" w:color="auto" w:fill="F5F7F9"/>
          </w:tcPr>
          <w:p>
            <w:pPr>
              <w:spacing w:after="20"/>
            </w:pPr>
            <w:r>
              <w:rPr>
                <w:rFonts w:ascii="Calibri" w:hAnsi="Calibri"/>
                <w:b w:val="0"/>
                <w:i w:val="0"/>
                <w:color w:val="2B2F38"/>
                <w:sz w:val="18"/>
              </w:rPr>
              <w:t>Segment mix</w:t>
            </w:r>
          </w:p>
        </w:tc>
        <w:tc>
          <w:tcPr>
            <w:tcW w:type="dxa" w:w="4372"/>
            <w:shd w:val="clear" w:color="auto" w:fill="F5F7F9"/>
          </w:tcPr>
          <w:p>
            <w:pPr>
              <w:spacing w:after="20"/>
            </w:pPr>
            <w:r>
              <w:rPr>
                <w:rFonts w:ascii="Calibri" w:hAnsi="Calibri"/>
                <w:b w:val="0"/>
                <w:i w:val="0"/>
                <w:color w:val="2B2F38"/>
                <w:sz w:val="18"/>
              </w:rPr>
              <w:t>Wellness Protein +18.3%, single-serve cups +9.8%</w:t>
            </w:r>
          </w:p>
        </w:tc>
        <w:tc>
          <w:tcPr>
            <w:tcW w:type="dxa" w:w="2661"/>
            <w:shd w:val="clear" w:color="auto" w:fill="F5F7F9"/>
          </w:tcPr>
          <w:p>
            <w:pPr>
              <w:spacing w:after="20"/>
            </w:pPr>
            <w:r>
              <w:rPr>
                <w:rFonts w:ascii="Calibri" w:hAnsi="Calibri"/>
                <w:b w:val="0"/>
                <w:i w:val="0"/>
                <w:color w:val="2B2F38"/>
                <w:sz w:val="18"/>
              </w:rPr>
              <w:t>High</w:t>
            </w:r>
          </w:p>
        </w:tc>
      </w:tr>
      <w:tr>
        <w:tc>
          <w:tcPr>
            <w:tcW w:type="dxa" w:w="2471"/>
            <w:shd w:val="clear" w:color="auto" w:fill="FFFFFF"/>
          </w:tcPr>
          <w:p>
            <w:pPr>
              <w:spacing w:after="20"/>
            </w:pPr>
            <w:r>
              <w:rPr>
                <w:rFonts w:ascii="Calibri" w:hAnsi="Calibri"/>
                <w:b w:val="0"/>
                <w:i w:val="0"/>
                <w:color w:val="2B2F38"/>
                <w:sz w:val="18"/>
              </w:rPr>
              <w:t>Direct GLP-1 usage measurement</w:t>
            </w:r>
          </w:p>
        </w:tc>
        <w:tc>
          <w:tcPr>
            <w:tcW w:type="dxa" w:w="4372"/>
            <w:shd w:val="clear" w:color="auto" w:fill="FFFFFF"/>
          </w:tcPr>
          <w:p>
            <w:pPr>
              <w:spacing w:after="20"/>
            </w:pPr>
            <w:r>
              <w:rPr>
                <w:rFonts w:ascii="Calibri" w:hAnsi="Calibri"/>
                <w:b w:val="0"/>
                <w:i w:val="0"/>
                <w:color w:val="2B2F38"/>
                <w:sz w:val="18"/>
              </w:rPr>
              <w:t>Not instrumented</w:t>
            </w:r>
          </w:p>
        </w:tc>
        <w:tc>
          <w:tcPr>
            <w:tcW w:type="dxa" w:w="2661"/>
            <w:shd w:val="clear" w:color="auto" w:fill="FFFFFF"/>
          </w:tcPr>
          <w:p>
            <w:pPr>
              <w:spacing w:after="20"/>
            </w:pPr>
            <w:r>
              <w:rPr>
                <w:rFonts w:ascii="Calibri" w:hAnsi="Calibri"/>
                <w:b w:val="0"/>
                <w:i w:val="0"/>
                <w:color w:val="2B2F38"/>
                <w:sz w:val="18"/>
              </w:rPr>
              <w:t>None — this is the gap</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seed_macro_trends, kantar_worldpanel_cohort, seed_category_market_size.</w:t>
      </w:r>
    </w:p>
    <w:tbl>
      <w:tblPr>
        <w:tblW w:w="9504" w:type="dxa"/>
        <w:tblBorders>
          <w:top w:val="none"/>
          <w:left w:val="single" w:sz="24" w:color="B98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The instrumentation gap we should close</w:t>
            </w:r>
          </w:p>
          <w:p>
            <w:pPr>
              <w:spacing w:after="40" w:line="274" w:lineRule="auto"/>
            </w:pPr>
            <w:r>
              <w:rPr>
                <w:rFonts w:ascii="Calibri" w:hAnsi="Calibri"/>
                <w:b w:val="0"/>
                <w:i w:val="0"/>
                <w:color w:val="2B2F38"/>
                <w:sz w:val="20"/>
              </w:rPr>
              <w:t>We do not ask about GLP-1 use in the brand-health survey. Adding a single screening question would let us cut every tracker measure by GLP-1 status within two waves, and would cost almost nothing. It is the highest-value change available to the tracker.</w:t>
            </w:r>
          </w:p>
        </w:tc>
      </w:tr>
    </w:tbl>
    <w:p>
      <w:pPr>
        <w:keepNext w:val="0"/>
        <w:spacing w:after="80" w:before="0" w:line="274" w:lineRule="auto"/>
      </w:pPr>
    </w:p>
    <w:p>
      <w:pPr>
        <w:keepNext/>
        <w:spacing w:after="40" w:before="240" w:line="274" w:lineRule="auto"/>
      </w:pPr>
      <w:r>
        <w:rPr>
          <w:rFonts w:ascii="Calibri" w:hAnsi="Calibri"/>
          <w:b/>
          <w:i w:val="0"/>
          <w:color w:val="2E7D75"/>
          <w:sz w:val="18"/>
        </w:rPr>
        <w:t>IMPLICATIONS</w:t>
      </w:r>
    </w:p>
    <w:p>
      <w:pPr>
        <w:keepNext/>
        <w:spacing w:after="100" w:before="0" w:line="274" w:lineRule="auto"/>
      </w:pPr>
      <w:r>
        <w:rPr>
          <w:rFonts w:ascii="Calibri" w:hAnsi="Calibri"/>
          <w:b/>
          <w:i w:val="0"/>
          <w:color w:val="1F2A44"/>
          <w:sz w:val="31"/>
        </w:rPr>
        <w:t>3 · What it means for the category</w:t>
      </w:r>
    </w:p>
    <w:p>
      <w:pPr>
        <w:pStyle w:val="ListBullet"/>
        <w:spacing w:after="80" w:line="274" w:lineRule="auto"/>
        <w:ind w:left="403" w:hanging="230"/>
      </w:pPr>
      <w:r>
        <w:rPr>
          <w:rFonts w:ascii="Calibri" w:hAnsi="Calibri"/>
          <w:b/>
          <w:i w:val="0"/>
          <w:color w:val="2B2F38"/>
          <w:sz w:val="21"/>
        </w:rPr>
        <w:t>Volume pressure lands hardest on family-size packs.</w:t>
      </w:r>
      <w:r>
        <w:rPr>
          <w:rFonts w:ascii="Calibri" w:hAnsi="Calibri"/>
          <w:b w:val="0"/>
          <w:i w:val="0"/>
          <w:color w:val="2B2F38"/>
          <w:sz w:val="21"/>
        </w:rPr>
        <w:t xml:space="preserve"> Smaller appetites mean fewer servings per household, which pressures the 18oz and larger formats first.</w:t>
      </w:r>
    </w:p>
    <w:p>
      <w:pPr>
        <w:pStyle w:val="ListBullet"/>
        <w:spacing w:after="80" w:line="274" w:lineRule="auto"/>
        <w:ind w:left="403" w:hanging="230"/>
      </w:pPr>
      <w:r>
        <w:rPr>
          <w:rFonts w:ascii="Calibri" w:hAnsi="Calibri"/>
          <w:b/>
          <w:i w:val="0"/>
          <w:color w:val="2B2F38"/>
          <w:sz w:val="21"/>
        </w:rPr>
        <w:t>Value can hold while volume falls.</w:t>
      </w:r>
      <w:r>
        <w:rPr>
          <w:rFonts w:ascii="Calibri" w:hAnsi="Calibri"/>
          <w:b w:val="0"/>
          <w:i w:val="0"/>
          <w:color w:val="2B2F38"/>
          <w:sz w:val="21"/>
        </w:rPr>
        <w:t xml:space="preserve"> Premium price-per-serving formats — protein, single-serve, functional — can offset unit decline in revenue terms.</w:t>
      </w:r>
    </w:p>
    <w:p>
      <w:pPr>
        <w:pStyle w:val="ListBullet"/>
        <w:spacing w:after="80" w:line="274" w:lineRule="auto"/>
        <w:ind w:left="403" w:hanging="230"/>
      </w:pPr>
      <w:r>
        <w:rPr>
          <w:rFonts w:ascii="Calibri" w:hAnsi="Calibri"/>
          <w:b/>
          <w:i w:val="0"/>
          <w:color w:val="2B2F38"/>
          <w:sz w:val="21"/>
        </w:rPr>
        <w:t>Protein is the permission structure.</w:t>
      </w:r>
      <w:r>
        <w:rPr>
          <w:rFonts w:ascii="Calibri" w:hAnsi="Calibri"/>
          <w:b w:val="0"/>
          <w:i w:val="0"/>
          <w:color w:val="2B2F38"/>
          <w:sz w:val="21"/>
        </w:rPr>
        <w:t xml:space="preserve"> A shrinking appetite raises the premium on nutrient density per serving, which is exactly ProteinPeak's proposition.</w:t>
      </w:r>
    </w:p>
    <w:p>
      <w:pPr>
        <w:pStyle w:val="ListBullet"/>
        <w:spacing w:after="80" w:line="274" w:lineRule="auto"/>
        <w:ind w:left="403" w:hanging="230"/>
      </w:pPr>
      <w:r>
        <w:rPr>
          <w:rFonts w:ascii="Calibri" w:hAnsi="Calibri"/>
          <w:b/>
          <w:i w:val="0"/>
          <w:color w:val="2B2F38"/>
          <w:sz w:val="21"/>
        </w:rPr>
        <w:t>Kids' cereal is doubly exposed</w:t>
      </w:r>
      <w:r>
        <w:rPr>
          <w:rFonts w:ascii="Calibri" w:hAnsi="Calibri"/>
          <w:b w:val="0"/>
          <w:i w:val="0"/>
          <w:color w:val="2B2F38"/>
          <w:sz w:val="21"/>
        </w:rPr>
        <w:t xml:space="preserve"> — GLP-1 in the adult household plus the 0.68-strength parental-guilt trend. This is part of the HoneyNest harvest logic (Report 69).</w:t>
      </w:r>
    </w:p>
    <w:p>
      <w:pPr>
        <w:pStyle w:val="ListBullet"/>
        <w:spacing w:after="80" w:line="274" w:lineRule="auto"/>
        <w:ind w:left="403" w:hanging="230"/>
      </w:pPr>
      <w:r>
        <w:rPr>
          <w:rFonts w:ascii="Calibri" w:hAnsi="Calibri"/>
          <w:b/>
          <w:i w:val="0"/>
          <w:color w:val="2B2F38"/>
          <w:sz w:val="21"/>
        </w:rPr>
        <w:t>Promotion does not fix it.</w:t>
      </w:r>
      <w:r>
        <w:rPr>
          <w:rFonts w:ascii="Calibri" w:hAnsi="Calibri"/>
          <w:b w:val="0"/>
          <w:i w:val="0"/>
          <w:color w:val="2B2F38"/>
          <w:sz w:val="21"/>
        </w:rPr>
        <w:t xml:space="preserve"> Discounting a pack size the household no longer needs buys pantry loading, not consumption.</w:t>
      </w:r>
    </w:p>
    <w:p>
      <w:pPr>
        <w:keepNext w:val="0"/>
        <w:spacing w:after="40" w:before="0" w:line="274" w:lineRule="auto"/>
      </w:pPr>
    </w:p>
    <w:p>
      <w:pPr>
        <w:spacing w:before="80" w:after="40"/>
      </w:pPr>
      <w:r>
        <w:drawing>
          <wp:inline xmlns:a="http://schemas.openxmlformats.org/drawingml/2006/main" xmlns:pic="http://schemas.openxmlformats.org/drawingml/2006/picture">
            <wp:extent cx="6035040" cy="2398204"/>
            <wp:docPr id="2" name="Picture 2"/>
            <wp:cNvGraphicFramePr>
              <a:graphicFrameLocks noChangeAspect="1"/>
            </wp:cNvGraphicFramePr>
            <a:graphic>
              <a:graphicData uri="http://schemas.openxmlformats.org/drawingml/2006/picture">
                <pic:pic>
                  <pic:nvPicPr>
                    <pic:cNvPr id="0" name="r70_segments.png"/>
                    <pic:cNvPicPr/>
                  </pic:nvPicPr>
                  <pic:blipFill>
                    <a:blip r:embed="rId11"/>
                    <a:stretch>
                      <a:fillRect/>
                    </a:stretch>
                  </pic:blipFill>
                  <pic:spPr>
                    <a:xfrm>
                      <a:off x="0" y="0"/>
                      <a:ext cx="6035040" cy="2398204"/>
                    </a:xfrm>
                    <a:prstGeom prst="rect"/>
                  </pic:spPr>
                </pic:pic>
              </a:graphicData>
            </a:graphic>
          </wp:inline>
        </w:drawing>
      </w:r>
    </w:p>
    <w:p>
      <w:pPr>
        <w:keepNext w:val="0"/>
        <w:spacing w:after="160" w:before="0" w:line="274" w:lineRule="auto"/>
      </w:pPr>
      <w:r>
        <w:rPr>
          <w:rFonts w:ascii="Calibri" w:hAnsi="Calibri"/>
          <w:b w:val="0"/>
          <w:i/>
          <w:color w:val="5B6472"/>
          <w:sz w:val="17"/>
        </w:rPr>
        <w:t>The segments growing fastest are the ones with the highest nutrient density or the smallest serving size — or both.</w:t>
      </w:r>
    </w:p>
    <w:p>
      <w:pPr>
        <w:keepNext/>
        <w:spacing w:after="40" w:before="240" w:line="274" w:lineRule="auto"/>
      </w:pPr>
      <w:r>
        <w:rPr>
          <w:rFonts w:ascii="Calibri" w:hAnsi="Calibri"/>
          <w:b/>
          <w:i w:val="0"/>
          <w:color w:val="2E7D75"/>
          <w:sz w:val="18"/>
        </w:rPr>
        <w:t>RESPONSES</w:t>
      </w:r>
    </w:p>
    <w:p>
      <w:pPr>
        <w:keepNext/>
        <w:spacing w:after="100" w:before="0" w:line="274" w:lineRule="auto"/>
      </w:pPr>
      <w:r>
        <w:rPr>
          <w:rFonts w:ascii="Calibri" w:hAnsi="Calibri"/>
          <w:b/>
          <w:i w:val="0"/>
          <w:color w:val="1F2A44"/>
          <w:sz w:val="31"/>
        </w:rPr>
        <w:t>4 · The four things already in the plan</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4182"/>
        <w:gridCol w:w="2091"/>
      </w:tblGrid>
      <w:tr>
        <w:tc>
          <w:tcPr>
            <w:tcW w:type="dxa" w:w="3231"/>
            <w:shd w:val="clear" w:color="auto" w:fill="1F2A44"/>
          </w:tcPr>
          <w:p>
            <w:pPr>
              <w:spacing w:after="20"/>
            </w:pPr>
            <w:r>
              <w:rPr>
                <w:rFonts w:ascii="Calibri" w:hAnsi="Calibri"/>
                <w:b/>
                <w:i w:val="0"/>
                <w:color w:val="FFFFFF"/>
                <w:sz w:val="17"/>
              </w:rPr>
              <w:t>Response</w:t>
            </w:r>
          </w:p>
        </w:tc>
        <w:tc>
          <w:tcPr>
            <w:tcW w:type="dxa" w:w="4182"/>
            <w:shd w:val="clear" w:color="auto" w:fill="1F2A44"/>
          </w:tcPr>
          <w:p>
            <w:pPr>
              <w:spacing w:after="20"/>
            </w:pPr>
            <w:r>
              <w:rPr>
                <w:rFonts w:ascii="Calibri" w:hAnsi="Calibri"/>
                <w:b/>
                <w:i w:val="0"/>
                <w:color w:val="FFFFFF"/>
                <w:sz w:val="17"/>
              </w:rPr>
              <w:t>Where it sits</w:t>
            </w:r>
          </w:p>
        </w:tc>
        <w:tc>
          <w:tcPr>
            <w:tcW w:type="dxa" w:w="2091"/>
            <w:shd w:val="clear" w:color="auto" w:fill="1F2A44"/>
          </w:tcPr>
          <w:p>
            <w:pPr>
              <w:spacing w:after="20"/>
            </w:pPr>
            <w:r>
              <w:rPr>
                <w:rFonts w:ascii="Calibri" w:hAnsi="Calibri"/>
                <w:b/>
                <w:i w:val="0"/>
                <w:color w:val="FFFFFF"/>
                <w:sz w:val="17"/>
              </w:rPr>
              <w:t>Owner</w:t>
            </w:r>
          </w:p>
        </w:tc>
      </w:tr>
      <w:tr>
        <w:tc>
          <w:tcPr>
            <w:tcW w:type="dxa" w:w="3231"/>
            <w:shd w:val="clear" w:color="auto" w:fill="FFFFFF"/>
          </w:tcPr>
          <w:p>
            <w:pPr>
              <w:spacing w:after="20"/>
            </w:pPr>
            <w:r>
              <w:rPr>
                <w:rFonts w:ascii="Calibri" w:hAnsi="Calibri"/>
                <w:b w:val="0"/>
                <w:i w:val="0"/>
                <w:color w:val="2B2F38"/>
                <w:sz w:val="18"/>
              </w:rPr>
              <w:t>Fund protein ahead of family-size volume</w:t>
            </w:r>
          </w:p>
        </w:tc>
        <w:tc>
          <w:tcPr>
            <w:tcW w:type="dxa" w:w="4182"/>
            <w:shd w:val="clear" w:color="auto" w:fill="FFFFFF"/>
          </w:tcPr>
          <w:p>
            <w:pPr>
              <w:spacing w:after="20"/>
            </w:pPr>
            <w:r>
              <w:rPr>
                <w:rFonts w:ascii="Calibri" w:hAnsi="Calibri"/>
                <w:b w:val="0"/>
                <w:i w:val="0"/>
                <w:color w:val="2B2F38"/>
                <w:sz w:val="18"/>
              </w:rPr>
              <w:t>FY27 AOP (Report 61); ProteinPeak plan (Report 67)</w:t>
            </w:r>
          </w:p>
        </w:tc>
        <w:tc>
          <w:tcPr>
            <w:tcW w:type="dxa" w:w="2091"/>
            <w:shd w:val="clear" w:color="auto" w:fill="FFFFFF"/>
          </w:tcPr>
          <w:p>
            <w:pPr>
              <w:spacing w:after="20"/>
            </w:pPr>
            <w:r>
              <w:rPr>
                <w:rFonts w:ascii="Calibri" w:hAnsi="Calibri"/>
                <w:b w:val="0"/>
                <w:i w:val="0"/>
                <w:color w:val="2B2F38"/>
                <w:sz w:val="18"/>
              </w:rPr>
              <w:t>Sage Park / CFO</w:t>
            </w:r>
          </w:p>
        </w:tc>
      </w:tr>
      <w:tr>
        <w:tc>
          <w:tcPr>
            <w:tcW w:type="dxa" w:w="3231"/>
            <w:shd w:val="clear" w:color="auto" w:fill="F5F7F9"/>
          </w:tcPr>
          <w:p>
            <w:pPr>
              <w:spacing w:after="20"/>
            </w:pPr>
            <w:r>
              <w:rPr>
                <w:rFonts w:ascii="Calibri" w:hAnsi="Calibri"/>
                <w:b w:val="0"/>
                <w:i w:val="0"/>
                <w:color w:val="2B2F38"/>
                <w:sz w:val="18"/>
              </w:rPr>
              <w:t>Build single-serve and convenience formats</w:t>
            </w:r>
          </w:p>
        </w:tc>
        <w:tc>
          <w:tcPr>
            <w:tcW w:type="dxa" w:w="4182"/>
            <w:shd w:val="clear" w:color="auto" w:fill="F5F7F9"/>
          </w:tcPr>
          <w:p>
            <w:pPr>
              <w:spacing w:after="20"/>
            </w:pPr>
            <w:r>
              <w:rPr>
                <w:rFonts w:ascii="Calibri" w:hAnsi="Calibri"/>
                <w:b w:val="0"/>
                <w:i w:val="0"/>
                <w:color w:val="2B2F38"/>
                <w:sz w:val="18"/>
              </w:rPr>
              <w:t>MorningOats cups; RootDay single-serve carton (Report 51)</w:t>
            </w:r>
          </w:p>
        </w:tc>
        <w:tc>
          <w:tcPr>
            <w:tcW w:type="dxa" w:w="2091"/>
            <w:shd w:val="clear" w:color="auto" w:fill="F5F7F9"/>
          </w:tcPr>
          <w:p>
            <w:pPr>
              <w:spacing w:after="20"/>
            </w:pPr>
            <w:r>
              <w:rPr>
                <w:rFonts w:ascii="Calibri" w:hAnsi="Calibri"/>
                <w:b w:val="0"/>
                <w:i w:val="0"/>
                <w:color w:val="2B2F38"/>
                <w:sz w:val="18"/>
              </w:rPr>
              <w:t>Brand teams</w:t>
            </w:r>
          </w:p>
        </w:tc>
      </w:tr>
      <w:tr>
        <w:tc>
          <w:tcPr>
            <w:tcW w:type="dxa" w:w="3231"/>
            <w:shd w:val="clear" w:color="auto" w:fill="FFFFFF"/>
          </w:tcPr>
          <w:p>
            <w:pPr>
              <w:spacing w:after="20"/>
            </w:pPr>
            <w:r>
              <w:rPr>
                <w:rFonts w:ascii="Calibri" w:hAnsi="Calibri"/>
                <w:b w:val="0"/>
                <w:i w:val="0"/>
                <w:color w:val="2B2F38"/>
                <w:sz w:val="18"/>
              </w:rPr>
              <w:t>Pack architecture for smaller portions and higher price-per-serving</w:t>
            </w:r>
          </w:p>
        </w:tc>
        <w:tc>
          <w:tcPr>
            <w:tcW w:type="dxa" w:w="4182"/>
            <w:shd w:val="clear" w:color="auto" w:fill="FFFFFF"/>
          </w:tcPr>
          <w:p>
            <w:pPr>
              <w:spacing w:after="20"/>
            </w:pPr>
            <w:r>
              <w:rPr>
                <w:rFonts w:ascii="Calibri" w:hAnsi="Calibri"/>
                <w:b w:val="0"/>
                <w:i w:val="0"/>
                <w:color w:val="2B2F38"/>
                <w:sz w:val="18"/>
              </w:rPr>
              <w:t>RGM policy (Report 64)</w:t>
            </w:r>
          </w:p>
        </w:tc>
        <w:tc>
          <w:tcPr>
            <w:tcW w:type="dxa" w:w="2091"/>
            <w:shd w:val="clear" w:color="auto" w:fill="FFFFFF"/>
          </w:tcPr>
          <w:p>
            <w:pPr>
              <w:spacing w:after="20"/>
            </w:pPr>
            <w:r>
              <w:rPr>
                <w:rFonts w:ascii="Calibri" w:hAnsi="Calibri"/>
                <w:b w:val="0"/>
                <w:i w:val="0"/>
                <w:color w:val="2B2F38"/>
                <w:sz w:val="18"/>
              </w:rPr>
              <w:t>RGM Lead</w:t>
            </w:r>
          </w:p>
        </w:tc>
      </w:tr>
      <w:tr>
        <w:tc>
          <w:tcPr>
            <w:tcW w:type="dxa" w:w="3231"/>
            <w:shd w:val="clear" w:color="auto" w:fill="F5F7F9"/>
          </w:tcPr>
          <w:p>
            <w:pPr>
              <w:spacing w:after="20"/>
            </w:pPr>
            <w:r>
              <w:rPr>
                <w:rFonts w:ascii="Calibri" w:hAnsi="Calibri"/>
                <w:b w:val="0"/>
                <w:i w:val="0"/>
                <w:color w:val="2B2F38"/>
                <w:sz w:val="18"/>
              </w:rPr>
              <w:t>Harvest, not relaunch, in Kids Sweet</w:t>
            </w:r>
          </w:p>
        </w:tc>
        <w:tc>
          <w:tcPr>
            <w:tcW w:type="dxa" w:w="4182"/>
            <w:shd w:val="clear" w:color="auto" w:fill="F5F7F9"/>
          </w:tcPr>
          <w:p>
            <w:pPr>
              <w:spacing w:after="20"/>
            </w:pPr>
            <w:r>
              <w:rPr>
                <w:rFonts w:ascii="Calibri" w:hAnsi="Calibri"/>
                <w:b w:val="0"/>
                <w:i w:val="0"/>
                <w:color w:val="2B2F38"/>
                <w:sz w:val="18"/>
              </w:rPr>
              <w:t>HoneyNest decision (Report 69)</w:t>
            </w:r>
          </w:p>
        </w:tc>
        <w:tc>
          <w:tcPr>
            <w:tcW w:type="dxa" w:w="2091"/>
            <w:shd w:val="clear" w:color="auto" w:fill="F5F7F9"/>
          </w:tcPr>
          <w:p>
            <w:pPr>
              <w:spacing w:after="20"/>
            </w:pPr>
            <w:r>
              <w:rPr>
                <w:rFonts w:ascii="Calibri" w:hAnsi="Calibri"/>
                <w:b w:val="0"/>
                <w:i w:val="0"/>
                <w:color w:val="2B2F38"/>
                <w:sz w:val="18"/>
              </w:rPr>
              <w:t>VP Brand</w:t>
            </w:r>
          </w:p>
        </w:tc>
      </w:tr>
    </w:tbl>
    <w:p>
      <w:pPr>
        <w:keepNext w:val="0"/>
        <w:spacing w:after="60" w:before="0" w:line="274" w:lineRule="auto"/>
      </w:pPr>
    </w:p>
    <w:p>
      <w:pPr>
        <w:keepNext w:val="0"/>
        <w:spacing w:after="120" w:before="0" w:line="274" w:lineRule="auto"/>
      </w:pPr>
      <w:r>
        <w:rPr>
          <w:rFonts w:ascii="Calibri" w:hAnsi="Calibri"/>
          <w:b w:val="0"/>
          <w:i w:val="0"/>
          <w:color w:val="2B2F38"/>
          <w:sz w:val="21"/>
        </w:rPr>
        <w:t>Note what is not on that list: a price response, a volume-chasing promotional response, or a new category entry. A slow structural headwind is answered with mix, not with depth.</w:t>
      </w:r>
    </w:p>
    <w:p>
      <w:pPr>
        <w:keepNext/>
        <w:spacing w:after="40" w:before="240" w:line="274" w:lineRule="auto"/>
      </w:pPr>
      <w:r>
        <w:rPr>
          <w:rFonts w:ascii="Calibri" w:hAnsi="Calibri"/>
          <w:b/>
          <w:i w:val="0"/>
          <w:color w:val="2E7D75"/>
          <w:sz w:val="18"/>
        </w:rPr>
        <w:t>WHAT WOULD CHANGE OUR MIND</w:t>
      </w:r>
    </w:p>
    <w:p>
      <w:pPr>
        <w:keepNext/>
        <w:spacing w:after="100" w:before="0" w:line="274" w:lineRule="auto"/>
      </w:pPr>
      <w:r>
        <w:rPr>
          <w:rFonts w:ascii="Calibri" w:hAnsi="Calibri"/>
          <w:b/>
          <w:i w:val="0"/>
          <w:color w:val="1F2A44"/>
          <w:sz w:val="31"/>
        </w:rPr>
        <w:t>5 · The falsification tests</w:t>
      </w:r>
    </w:p>
    <w:p>
      <w:pPr>
        <w:pStyle w:val="ListBullet"/>
        <w:spacing w:after="80" w:line="274" w:lineRule="auto"/>
        <w:ind w:left="403" w:hanging="230"/>
      </w:pPr>
      <w:r>
        <w:rPr>
          <w:rFonts w:ascii="Calibri" w:hAnsi="Calibri"/>
          <w:b/>
          <w:i w:val="0"/>
          <w:color w:val="2B2F38"/>
          <w:sz w:val="21"/>
        </w:rPr>
        <w:t>Cereal-skipper penetration flattens for three consecutive quarters</w:t>
      </w:r>
      <w:r>
        <w:rPr>
          <w:rFonts w:ascii="Calibri" w:hAnsi="Calibri"/>
          <w:b w:val="0"/>
          <w:i w:val="0"/>
          <w:color w:val="2B2F38"/>
          <w:sz w:val="21"/>
        </w:rPr>
        <w:t xml:space="preserve"> while family-size volume recovers — that would suggest the occasion loss was cyclical.</w:t>
      </w:r>
    </w:p>
    <w:p>
      <w:pPr>
        <w:pStyle w:val="ListBullet"/>
        <w:spacing w:after="80" w:line="274" w:lineRule="auto"/>
        <w:ind w:left="403" w:hanging="230"/>
      </w:pPr>
      <w:r>
        <w:rPr>
          <w:rFonts w:ascii="Calibri" w:hAnsi="Calibri"/>
          <w:b/>
          <w:i w:val="0"/>
          <w:color w:val="2B2F38"/>
          <w:sz w:val="21"/>
        </w:rPr>
        <w:t>Single-serve and protein growth decelerates below category growth</w:t>
      </w:r>
      <w:r>
        <w:rPr>
          <w:rFonts w:ascii="Calibri" w:hAnsi="Calibri"/>
          <w:b w:val="0"/>
          <w:i w:val="0"/>
          <w:color w:val="2B2F38"/>
          <w:sz w:val="21"/>
        </w:rPr>
        <w:t xml:space="preserve"> — that would suggest the nutrient-density thesis is wrong.</w:t>
      </w:r>
    </w:p>
    <w:p>
      <w:pPr>
        <w:pStyle w:val="ListBullet"/>
        <w:spacing w:after="80" w:line="274" w:lineRule="auto"/>
        <w:ind w:left="403" w:hanging="230"/>
      </w:pPr>
      <w:r>
        <w:rPr>
          <w:rFonts w:ascii="Calibri" w:hAnsi="Calibri"/>
          <w:b/>
          <w:i w:val="0"/>
          <w:color w:val="2B2F38"/>
          <w:sz w:val="21"/>
        </w:rPr>
        <w:t>A GLP-1 screening question shows no difference in cereal behaviour by usage status</w:t>
      </w:r>
      <w:r>
        <w:rPr>
          <w:rFonts w:ascii="Calibri" w:hAnsi="Calibri"/>
          <w:b w:val="0"/>
          <w:i w:val="0"/>
          <w:color w:val="2B2F38"/>
          <w:sz w:val="21"/>
        </w:rPr>
        <w:t xml:space="preserve"> — that would falsify the mechanism directly, and it is the test we should build.</w:t>
      </w:r>
    </w:p>
    <w:p>
      <w:pPr>
        <w:keepNext w:val="0"/>
        <w:spacing w:after="40" w:before="0" w:line="274" w:lineRule="auto"/>
      </w:pP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Add a GLP-1 usage screening question to the brand-health survey</w:t>
            </w:r>
          </w:p>
        </w:tc>
        <w:tc>
          <w:tcPr>
            <w:tcW w:type="dxa" w:w="2281"/>
            <w:shd w:val="clear" w:color="auto" w:fill="FFFFFF"/>
          </w:tcPr>
          <w:p>
            <w:pPr>
              <w:spacing w:after="20"/>
            </w:pPr>
            <w:r>
              <w:rPr>
                <w:rFonts w:ascii="Calibri" w:hAnsi="Calibri"/>
                <w:b w:val="0"/>
                <w:i w:val="0"/>
                <w:color w:val="2B2F38"/>
                <w:sz w:val="19"/>
              </w:rPr>
              <w:t>Nina Ortega</w:t>
            </w:r>
          </w:p>
        </w:tc>
        <w:tc>
          <w:tcPr>
            <w:tcW w:type="dxa" w:w="1521"/>
            <w:shd w:val="clear" w:color="auto" w:fill="FFFFFF"/>
          </w:tcPr>
          <w:p>
            <w:pPr>
              <w:spacing w:after="20"/>
              <w:jc w:val="right"/>
            </w:pPr>
            <w:r>
              <w:rPr>
                <w:rFonts w:ascii="Calibri" w:hAnsi="Calibri"/>
                <w:b w:val="0"/>
                <w:i w:val="0"/>
                <w:color w:val="2B2F38"/>
                <w:sz w:val="19"/>
              </w:rPr>
              <w:t>Next wave</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Add a GLP-1 volume sensitivity to the FY27–FY29 long-range plan</w:t>
            </w:r>
          </w:p>
        </w:tc>
        <w:tc>
          <w:tcPr>
            <w:tcW w:type="dxa" w:w="2281"/>
            <w:shd w:val="clear" w:color="auto" w:fill="F5F7F9"/>
          </w:tcPr>
          <w:p>
            <w:pPr>
              <w:spacing w:after="20"/>
            </w:pPr>
            <w:r>
              <w:rPr>
                <w:rFonts w:ascii="Calibri" w:hAnsi="Calibri"/>
                <w:b w:val="0"/>
                <w:i w:val="0"/>
                <w:color w:val="2B2F38"/>
                <w:sz w:val="19"/>
              </w:rPr>
              <w:t>Strategy / FP&amp;A</w:t>
            </w:r>
          </w:p>
        </w:tc>
        <w:tc>
          <w:tcPr>
            <w:tcW w:type="dxa" w:w="1521"/>
            <w:shd w:val="clear" w:color="auto" w:fill="F5F7F9"/>
          </w:tcPr>
          <w:p>
            <w:pPr>
              <w:spacing w:after="20"/>
              <w:jc w:val="right"/>
            </w:pPr>
            <w:r>
              <w:rPr>
                <w:rFonts w:ascii="Calibri" w:hAnsi="Calibri"/>
                <w:b w:val="0"/>
                <w:i w:val="0"/>
                <w:color w:val="2B2F38"/>
                <w:sz w:val="19"/>
              </w:rPr>
              <w:t>Q4 FY26</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Report the cereal-skipper cohort as a standing KPI in the category review</w:t>
            </w:r>
          </w:p>
        </w:tc>
        <w:tc>
          <w:tcPr>
            <w:tcW w:type="dxa" w:w="2281"/>
            <w:shd w:val="clear" w:color="auto" w:fill="FFFFFF"/>
          </w:tcPr>
          <w:p>
            <w:pPr>
              <w:spacing w:after="20"/>
            </w:pPr>
            <w:r>
              <w:rPr>
                <w:rFonts w:ascii="Calibri" w:hAnsi="Calibri"/>
                <w:b w:val="0"/>
                <w:i w:val="0"/>
                <w:color w:val="2B2F38"/>
                <w:sz w:val="19"/>
              </w:rPr>
              <w:t>Jordan Hsu</w:t>
            </w:r>
          </w:p>
        </w:tc>
        <w:tc>
          <w:tcPr>
            <w:tcW w:type="dxa" w:w="1521"/>
            <w:shd w:val="clear" w:color="auto" w:fill="FFFFFF"/>
          </w:tcPr>
          <w:p>
            <w:pPr>
              <w:spacing w:after="20"/>
              <w:jc w:val="right"/>
            </w:pPr>
            <w:r>
              <w:rPr>
                <w:rFonts w:ascii="Calibri" w:hAnsi="Calibri"/>
                <w:b w:val="0"/>
                <w:i w:val="0"/>
                <w:color w:val="2B2F38"/>
                <w:sz w:val="19"/>
              </w:rPr>
              <w:t>From August</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Re-issue this point of view annually with the falsification tests scored</w:t>
            </w:r>
          </w:p>
        </w:tc>
        <w:tc>
          <w:tcPr>
            <w:tcW w:type="dxa" w:w="2281"/>
            <w:shd w:val="clear" w:color="auto" w:fill="F5F7F9"/>
          </w:tcPr>
          <w:p>
            <w:pPr>
              <w:spacing w:after="20"/>
            </w:pPr>
            <w:r>
              <w:rPr>
                <w:rFonts w:ascii="Calibri" w:hAnsi="Calibri"/>
                <w:b w:val="0"/>
                <w:i w:val="0"/>
                <w:color w:val="2B2F38"/>
                <w:sz w:val="19"/>
              </w:rPr>
              <w:t>Nina Ortega</w:t>
            </w:r>
          </w:p>
        </w:tc>
        <w:tc>
          <w:tcPr>
            <w:tcW w:type="dxa" w:w="1521"/>
            <w:shd w:val="clear" w:color="auto" w:fill="F5F7F9"/>
          </w:tcPr>
          <w:p>
            <w:pPr>
              <w:spacing w:after="20"/>
              <w:jc w:val="right"/>
            </w:pPr>
            <w:r>
              <w:rPr>
                <w:rFonts w:ascii="Calibri" w:hAnsi="Calibri"/>
                <w:b w:val="0"/>
                <w:i w:val="0"/>
                <w:color w:val="2B2F38"/>
                <w:sz w:val="19"/>
              </w:rPr>
              <w:t>July 2027</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GLP-1 POV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GLP-1 and the Cereal Category — What We Believe and What We Are Doing</dc:title>
  <dc:subject/>
  <dc:creator>Acme Corp (synthetic)</dc:creator>
  <cp:keywords/>
  <dc:description>Internal point of view</dc:description>
  <cp:lastModifiedBy/>
  <cp:revision>1</cp:revision>
  <dcterms:created xsi:type="dcterms:W3CDTF">2013-12-23T23:15:00Z</dcterms:created>
  <dcterms:modified xsi:type="dcterms:W3CDTF">2013-12-23T23:15:00Z</dcterms:modified>
  <cp:category/>
</cp:coreProperties>
</file>