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 w:line="274" w:lineRule="auto"/>
      </w:pPr>
      <w:r>
        <w:rPr>
          <w:rFonts w:ascii="Calibri" w:hAnsi="Calibri"/>
          <w:b/>
          <w:i w:val="0"/>
          <w:color w:val="2E7D75"/>
          <w:sz w:val="19"/>
        </w:rPr>
        <w:t>FUNDING MEMORANDUM</w:t>
      </w:r>
    </w:p>
    <w:p>
      <w:pPr>
        <w:keepNext w:val="0"/>
        <w:spacing w:after="120" w:before="0" w:line="259" w:lineRule="auto"/>
      </w:pPr>
      <w:r>
        <w:rPr>
          <w:rFonts w:ascii="Calibri" w:hAnsi="Calibri"/>
          <w:b/>
          <w:i w:val="0"/>
          <w:color w:val="1F2A44"/>
          <w:sz w:val="46"/>
        </w:rPr>
        <w:t>H2 FY2026 Trade Spend Reallocation — The Case</w:t>
      </w:r>
    </w:p>
    <w:p>
      <w:pPr>
        <w:keepNext w:val="0"/>
        <w:spacing w:after="160" w:before="0" w:line="288" w:lineRule="auto"/>
      </w:pPr>
      <w:r>
        <w:rPr>
          <w:rFonts w:ascii="Calibri" w:hAnsi="Calibri"/>
          <w:b w:val="0"/>
          <w:i w:val="0"/>
          <w:color w:val="5B6472"/>
          <w:sz w:val="26"/>
        </w:rPr>
        <w:t>Why we are moving $2.4M a quarter inside the trade budget rather than asking for more of it</w:t>
      </w:r>
    </w:p>
    <w:p>
      <w:pPr>
        <w:spacing w:after="120"/>
        <w:pBdr>
          <w:bottom w:val="single" w:sz="6" w:space="1" w:color="C9D2DB"/>
        </w:pBdr>
      </w:pPr>
    </w:p>
    <w:p>
      <w:pPr>
        <w:keepNext w:val="0"/>
        <w:spacing w:after="40" w:before="0" w:line="274" w:lineRule="auto"/>
      </w:pPr>
      <w:r>
        <w:rPr>
          <w:rFonts w:ascii="Calibri" w:hAnsi="Calibri"/>
          <w:b/>
          <w:i w:val="0"/>
          <w:color w:val="5B6472"/>
          <w:sz w:val="20"/>
        </w:rPr>
        <w:t>RGM Lead with Trade Finance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To: CFO · cc VP Sales NA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Period: Q3–Q4 FY2026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Companion documents: Reports 54 and 64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Version: v1 · July 2026</w:t>
      </w:r>
    </w:p>
    <w:p>
      <w:pPr>
        <w:keepNext w:val="0"/>
        <w:spacing w:after="20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Internal funding memorandum · Internal · Confidential — synthetic demo data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At a glance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96" w:type="dxa"/>
          <w:bottom w:w="40" w:type="dxa"/>
          <w:right w:w="96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$11.6M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Q1 TRADE SPEND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0.52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INCREMENTALITY INDEX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$2.4M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QUARTERLY REALLOCATION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$0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INCREMENTAL BUDGET REQUESTED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ASK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1 · What we are asking you to approve</w:t>
      </w:r>
    </w:p>
    <w:p>
      <w:pPr>
        <w:keepNext w:val="0"/>
        <w:spacing w:after="160" w:before="0" w:line="293" w:lineRule="auto"/>
      </w:pPr>
      <w:r>
        <w:rPr>
          <w:rFonts w:ascii="Calibri" w:hAnsi="Calibri"/>
          <w:b w:val="0"/>
          <w:i/>
          <w:color w:val="5B6472"/>
          <w:sz w:val="24"/>
        </w:rPr>
        <w:t>No new money. A different mix, with a floor under event quality and a cap over depth.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In Q1 FY2026 we ran 43 promoted events costing $11.6M and generating $10.9M of modelled incremental revenue — an incrementality index of 0.52. Applying a 0.45 index floor to that calendar would have removed the lowest-returning mechanics and freed roughly $2.4M a quarter for feature-and-display weight, which indexes higher on every brand we run it on. We are asking for approval of the reallocation and the guardrails, not for additional trade budget.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EVIDENCE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2 · Where the money currently goes to die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2661"/>
        <w:gridCol w:w="1045"/>
        <w:gridCol w:w="1426"/>
        <w:gridCol w:w="1806"/>
        <w:gridCol w:w="1140"/>
        <w:gridCol w:w="1426"/>
      </w:tblGrid>
      <w:tr>
        <w:tc>
          <w:tcPr>
            <w:tcW w:type="dxa" w:w="266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Mechanic</w:t>
            </w:r>
          </w:p>
        </w:tc>
        <w:tc>
          <w:tcPr>
            <w:tcW w:type="dxa" w:w="1045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Events</w:t>
            </w:r>
          </w:p>
        </w:tc>
        <w:tc>
          <w:tcPr>
            <w:tcW w:type="dxa" w:w="1426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Spend</w:t>
            </w:r>
          </w:p>
        </w:tc>
        <w:tc>
          <w:tcPr>
            <w:tcW w:type="dxa" w:w="1806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Avg modelled lift</w:t>
            </w:r>
          </w:p>
        </w:tc>
        <w:tc>
          <w:tcPr>
            <w:tcW w:type="dxa" w:w="1140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Index</w:t>
            </w:r>
          </w:p>
        </w:tc>
        <w:tc>
          <w:tcPr>
            <w:tcW w:type="dxa" w:w="1426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Call</w:t>
            </w:r>
          </w:p>
        </w:tc>
      </w:tr>
      <w:tr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2.99 14oz</w:t>
            </w:r>
          </w:p>
        </w:tc>
        <w:tc>
          <w:tcPr>
            <w:tcW w:type="dxa" w:w="1045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5</w:t>
            </w:r>
          </w:p>
        </w:tc>
        <w:tc>
          <w:tcPr>
            <w:tcW w:type="dxa" w:w="142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$3.7M</w:t>
            </w:r>
          </w:p>
        </w:tc>
        <w:tc>
          <w:tcPr>
            <w:tcW w:type="dxa" w:w="180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25.4%</w:t>
            </w:r>
          </w:p>
        </w:tc>
        <w:tc>
          <w:tcPr>
            <w:tcW w:type="dxa" w:w="1140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0.57</w:t>
            </w:r>
          </w:p>
        </w:tc>
        <w:tc>
          <w:tcPr>
            <w:tcW w:type="dxa" w:w="142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Keep</w:t>
            </w:r>
          </w:p>
        </w:tc>
      </w:tr>
      <w:tr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$0.50 off</w:t>
            </w:r>
          </w:p>
        </w:tc>
        <w:tc>
          <w:tcPr>
            <w:tcW w:type="dxa" w:w="1045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5</w:t>
            </w:r>
          </w:p>
        </w:tc>
        <w:tc>
          <w:tcPr>
            <w:tcW w:type="dxa" w:w="142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$1.5M</w:t>
            </w:r>
          </w:p>
        </w:tc>
        <w:tc>
          <w:tcPr>
            <w:tcW w:type="dxa" w:w="180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15.4%</w:t>
            </w:r>
          </w:p>
        </w:tc>
        <w:tc>
          <w:tcPr>
            <w:tcW w:type="dxa" w:w="1140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0.41</w:t>
            </w:r>
          </w:p>
        </w:tc>
        <w:tc>
          <w:tcPr>
            <w:tcW w:type="dxa" w:w="142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Stop</w:t>
            </w:r>
          </w:p>
        </w:tc>
      </w:tr>
      <w:tr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$0.40 off</w:t>
            </w:r>
          </w:p>
        </w:tc>
        <w:tc>
          <w:tcPr>
            <w:tcW w:type="dxa" w:w="1045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5</w:t>
            </w:r>
          </w:p>
        </w:tc>
        <w:tc>
          <w:tcPr>
            <w:tcW w:type="dxa" w:w="142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$0.9M</w:t>
            </w:r>
          </w:p>
        </w:tc>
        <w:tc>
          <w:tcPr>
            <w:tcW w:type="dxa" w:w="180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11.8%</w:t>
            </w:r>
          </w:p>
        </w:tc>
        <w:tc>
          <w:tcPr>
            <w:tcW w:type="dxa" w:w="1140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0.38</w:t>
            </w:r>
          </w:p>
        </w:tc>
        <w:tc>
          <w:tcPr>
            <w:tcW w:type="dxa" w:w="142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Stop</w:t>
            </w:r>
          </w:p>
        </w:tc>
      </w:tr>
      <w:tr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$0.45 off</w:t>
            </w:r>
          </w:p>
        </w:tc>
        <w:tc>
          <w:tcPr>
            <w:tcW w:type="dxa" w:w="1045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6</w:t>
            </w:r>
          </w:p>
        </w:tc>
        <w:tc>
          <w:tcPr>
            <w:tcW w:type="dxa" w:w="142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$0.8M</w:t>
            </w:r>
          </w:p>
        </w:tc>
        <w:tc>
          <w:tcPr>
            <w:tcW w:type="dxa" w:w="180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12.5%</w:t>
            </w:r>
          </w:p>
        </w:tc>
        <w:tc>
          <w:tcPr>
            <w:tcW w:type="dxa" w:w="1140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0.54</w:t>
            </w:r>
          </w:p>
        </w:tc>
        <w:tc>
          <w:tcPr>
            <w:tcW w:type="dxa" w:w="142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Keep</w:t>
            </w:r>
          </w:p>
        </w:tc>
      </w:tr>
      <w:tr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Display + sample</w:t>
            </w:r>
          </w:p>
        </w:tc>
        <w:tc>
          <w:tcPr>
            <w:tcW w:type="dxa" w:w="1045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3</w:t>
            </w:r>
          </w:p>
        </w:tc>
        <w:tc>
          <w:tcPr>
            <w:tcW w:type="dxa" w:w="142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$0.6M</w:t>
            </w:r>
          </w:p>
        </w:tc>
        <w:tc>
          <w:tcPr>
            <w:tcW w:type="dxa" w:w="180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12.0%</w:t>
            </w:r>
          </w:p>
        </w:tc>
        <w:tc>
          <w:tcPr>
            <w:tcW w:type="dxa" w:w="1140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0.72</w:t>
            </w:r>
          </w:p>
        </w:tc>
        <w:tc>
          <w:tcPr>
            <w:tcW w:type="dxa" w:w="142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Keep</w:t>
            </w:r>
          </w:p>
        </w:tc>
      </w:tr>
      <w:tr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Display + price</w:t>
            </w:r>
          </w:p>
        </w:tc>
        <w:tc>
          <w:tcPr>
            <w:tcW w:type="dxa" w:w="1045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4</w:t>
            </w:r>
          </w:p>
        </w:tc>
        <w:tc>
          <w:tcPr>
            <w:tcW w:type="dxa" w:w="142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$0.6M</w:t>
            </w:r>
          </w:p>
        </w:tc>
        <w:tc>
          <w:tcPr>
            <w:tcW w:type="dxa" w:w="180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13.2%</w:t>
            </w:r>
          </w:p>
        </w:tc>
        <w:tc>
          <w:tcPr>
            <w:tcW w:type="dxa" w:w="1140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0.60</w:t>
            </w:r>
          </w:p>
        </w:tc>
        <w:tc>
          <w:tcPr>
            <w:tcW w:type="dxa" w:w="142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Keep</w:t>
            </w:r>
          </w:p>
        </w:tc>
      </w:tr>
      <w:tr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Display only</w:t>
            </w:r>
          </w:p>
        </w:tc>
        <w:tc>
          <w:tcPr>
            <w:tcW w:type="dxa" w:w="1045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</w:t>
            </w:r>
          </w:p>
        </w:tc>
        <w:tc>
          <w:tcPr>
            <w:tcW w:type="dxa" w:w="142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$0.6M</w:t>
            </w:r>
          </w:p>
        </w:tc>
        <w:tc>
          <w:tcPr>
            <w:tcW w:type="dxa" w:w="180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10.0%</w:t>
            </w:r>
          </w:p>
        </w:tc>
        <w:tc>
          <w:tcPr>
            <w:tcW w:type="dxa" w:w="1140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0.67</w:t>
            </w:r>
          </w:p>
        </w:tc>
        <w:tc>
          <w:tcPr>
            <w:tcW w:type="dxa" w:w="142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Keep</w:t>
            </w:r>
          </w:p>
        </w:tc>
      </w:tr>
      <w:tr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Buy 2 save $1</w:t>
            </w:r>
          </w:p>
        </w:tc>
        <w:tc>
          <w:tcPr>
            <w:tcW w:type="dxa" w:w="1045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</w:t>
            </w:r>
          </w:p>
        </w:tc>
        <w:tc>
          <w:tcPr>
            <w:tcW w:type="dxa" w:w="142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$0.5M</w:t>
            </w:r>
          </w:p>
        </w:tc>
        <w:tc>
          <w:tcPr>
            <w:tcW w:type="dxa" w:w="180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18.0%</w:t>
            </w:r>
          </w:p>
        </w:tc>
        <w:tc>
          <w:tcPr>
            <w:tcW w:type="dxa" w:w="1140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0.58</w:t>
            </w:r>
          </w:p>
        </w:tc>
        <w:tc>
          <w:tcPr>
            <w:tcW w:type="dxa" w:w="142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Keep</w:t>
            </w:r>
          </w:p>
        </w:tc>
      </w:tr>
      <w:tr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All other mechanics (10)</w:t>
            </w:r>
          </w:p>
        </w:tc>
        <w:tc>
          <w:tcPr>
            <w:tcW w:type="dxa" w:w="1045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12</w:t>
            </w:r>
          </w:p>
        </w:tc>
        <w:tc>
          <w:tcPr>
            <w:tcW w:type="dxa" w:w="142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$2.5M</w:t>
            </w:r>
          </w:p>
        </w:tc>
        <w:tc>
          <w:tcPr>
            <w:tcW w:type="dxa" w:w="180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12.9%</w:t>
            </w:r>
          </w:p>
        </w:tc>
        <w:tc>
          <w:tcPr>
            <w:tcW w:type="dxa" w:w="1140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0.54</w:t>
            </w:r>
          </w:p>
        </w:tc>
        <w:tc>
          <w:tcPr>
            <w:tcW w:type="dxa" w:w="142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Keep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seed_trade_promo_events_q1_2026, grouped by mechanic.</w:t>
      </w:r>
    </w:p>
    <w:p>
      <w:pPr>
        <w:spacing w:before="80" w:after="40"/>
      </w:pPr>
      <w:r>
        <w:drawing>
          <wp:inline xmlns:a="http://schemas.openxmlformats.org/drawingml/2006/main" xmlns:pic="http://schemas.openxmlformats.org/drawingml/2006/picture">
            <wp:extent cx="6035040" cy="2398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71_me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98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7"/>
        </w:rPr>
        <w:t>The spread between mechanics is wide enough that mix, not budget, is the lever.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MECHANISM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3 · Why depth is the wrong instrument for our packs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Our most promoted packs are also our most elastic. Crunchwell Original Mega 18oz at Rouses carries an elasticity of -2.12, and the next four most elastic points in the portfolio are all Crunchwell Mega and Multigrain packs at Rouses and Walmart — the two banners where Larksfield has been most aggressive on endcaps in Louisiana. Deep discounting on those packs buys volume at a permanent cost to the reference price, which is a mechanism in the Louisiana base erosion rather than a defence against it.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3231"/>
        <w:gridCol w:w="1711"/>
        <w:gridCol w:w="1521"/>
        <w:gridCol w:w="1521"/>
        <w:gridCol w:w="1521"/>
      </w:tblGrid>
      <w:tr>
        <w:tc>
          <w:tcPr>
            <w:tcW w:type="dxa" w:w="323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SKU</w:t>
            </w:r>
          </w:p>
        </w:tc>
        <w:tc>
          <w:tcPr>
            <w:tcW w:type="dxa" w:w="171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Retailer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Elasticity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Baseline price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Model confidence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Crunchwell Original Mega 18oz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Rouses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-2.12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$5.49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0.66</w:t>
            </w:r>
          </w:p>
        </w:tc>
      </w:tr>
      <w:tr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Crunchwell Multigrain 13oz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Rouses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-2.04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$4.49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0.62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Crunchwell Honey Nut Mega 18oz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Walmart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-1.92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$5.69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0.83</w:t>
            </w:r>
          </w:p>
        </w:tc>
      </w:tr>
      <w:tr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Crunchwell Original Mega 18oz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Walmart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-1.84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$5.49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0.84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HoneyNest Chocolate 12oz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Walmart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-1.72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$4.39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0.78</w:t>
            </w:r>
          </w:p>
        </w:tc>
      </w:tr>
      <w:tr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Crunchwell Original Mega 18oz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Kroger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-1.71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$5.49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0.81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Crunchwell Cinnamon Twist 14oz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Walmart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-1.68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$4.59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0.62</w:t>
            </w:r>
          </w:p>
        </w:tc>
      </w:tr>
      <w:tr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HoneyNest Frosted Flakes 14oz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Walmart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-1.66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$4.59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0.76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seed_sku_elasticity_estimates.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MOVE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4 · Where the $2.4M goes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2851"/>
        <w:gridCol w:w="1236"/>
        <w:gridCol w:w="2851"/>
        <w:gridCol w:w="1236"/>
        <w:gridCol w:w="1331"/>
      </w:tblGrid>
      <w:tr>
        <w:tc>
          <w:tcPr>
            <w:tcW w:type="dxa" w:w="285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From</w:t>
            </w:r>
          </w:p>
        </w:tc>
        <w:tc>
          <w:tcPr>
            <w:tcW w:type="dxa" w:w="1236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$M/quarter</w:t>
            </w:r>
          </w:p>
        </w:tc>
        <w:tc>
          <w:tcPr>
            <w:tcW w:type="dxa" w:w="285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To</w:t>
            </w:r>
          </w:p>
        </w:tc>
        <w:tc>
          <w:tcPr>
            <w:tcW w:type="dxa" w:w="1236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$M/quarter</w:t>
            </w:r>
          </w:p>
        </w:tc>
        <w:tc>
          <w:tcPr>
            <w:tcW w:type="dxa" w:w="133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index</w:t>
            </w:r>
          </w:p>
        </w:tc>
      </w:tr>
      <w:tr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Sub-0.45 mechanics across all brands</w:t>
            </w:r>
          </w:p>
        </w:tc>
        <w:tc>
          <w:tcPr>
            <w:tcW w:type="dxa" w:w="123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−2.4</w:t>
            </w:r>
          </w:p>
        </w:tc>
        <w:tc>
          <w:tcPr>
            <w:tcW w:type="dxa" w:w="285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Feature-and-display weight, top-5 retailers</w:t>
            </w:r>
          </w:p>
        </w:tc>
        <w:tc>
          <w:tcPr>
            <w:tcW w:type="dxa" w:w="123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+1.5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0.62</w:t>
            </w:r>
          </w:p>
        </w:tc>
      </w:tr>
      <w:tr>
        <w:tc>
          <w:tcPr>
            <w:tcW w:type="dxa" w:w="2851"/>
            <w:shd w:val="clear" w:color="auto" w:fill="F5F7F9"/>
          </w:tcPr>
          <w:p>
            <w:pPr>
              <w:spacing w:after="20"/>
            </w:pPr>
          </w:p>
        </w:tc>
        <w:tc>
          <w:tcPr>
            <w:tcW w:type="dxa" w:w="1236"/>
            <w:shd w:val="clear" w:color="auto" w:fill="F5F7F9"/>
          </w:tcPr>
          <w:p>
            <w:pPr>
              <w:spacing w:after="20"/>
              <w:jc w:val="right"/>
            </w:pPr>
          </w:p>
        </w:tc>
        <w:tc>
          <w:tcPr>
            <w:tcW w:type="dxa" w:w="285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Louisiana recovery trade at capped depth</w:t>
            </w:r>
          </w:p>
        </w:tc>
        <w:tc>
          <w:tcPr>
            <w:tcW w:type="dxa" w:w="123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+0.6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0.58</w:t>
            </w:r>
          </w:p>
        </w:tc>
      </w:tr>
      <w:tr>
        <w:tc>
          <w:tcPr>
            <w:tcW w:type="dxa" w:w="2851"/>
            <w:shd w:val="clear" w:color="auto" w:fill="FFFFFF"/>
          </w:tcPr>
          <w:p>
            <w:pPr>
              <w:spacing w:after="20"/>
            </w:pPr>
          </w:p>
        </w:tc>
        <w:tc>
          <w:tcPr>
            <w:tcW w:type="dxa" w:w="1236"/>
            <w:shd w:val="clear" w:color="auto" w:fill="FFFFFF"/>
          </w:tcPr>
          <w:p>
            <w:pPr>
              <w:spacing w:after="20"/>
              <w:jc w:val="right"/>
            </w:pPr>
          </w:p>
        </w:tc>
        <w:tc>
          <w:tcPr>
            <w:tcW w:type="dxa" w:w="285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ProteinPeak display support (no depth)</w:t>
            </w:r>
          </w:p>
        </w:tc>
        <w:tc>
          <w:tcPr>
            <w:tcW w:type="dxa" w:w="123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+0.3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0.70</w:t>
            </w:r>
          </w:p>
        </w:tc>
      </w:tr>
      <w:tr>
        <w:tc>
          <w:tcPr>
            <w:tcW w:type="dxa" w:w="2851"/>
            <w:shd w:val="clear" w:color="auto" w:fill="EAEEF2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2B2F38"/>
                <w:sz w:val="18"/>
              </w:rPr>
              <w:t>Net</w:t>
            </w:r>
          </w:p>
        </w:tc>
        <w:tc>
          <w:tcPr>
            <w:tcW w:type="dxa" w:w="1236"/>
            <w:shd w:val="clear" w:color="auto" w:fill="EAEEF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2B2F38"/>
                <w:sz w:val="18"/>
              </w:rPr>
              <w:t>−2.4</w:t>
            </w:r>
          </w:p>
        </w:tc>
        <w:tc>
          <w:tcPr>
            <w:tcW w:type="dxa" w:w="2851"/>
            <w:shd w:val="clear" w:color="auto" w:fill="EAEEF2"/>
          </w:tcPr>
          <w:p>
            <w:pPr>
              <w:spacing w:after="20"/>
              <w:jc w:val="right"/>
            </w:pPr>
          </w:p>
        </w:tc>
        <w:tc>
          <w:tcPr>
            <w:tcW w:type="dxa" w:w="1236"/>
            <w:shd w:val="clear" w:color="auto" w:fill="EAEEF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2B2F38"/>
                <w:sz w:val="18"/>
              </w:rPr>
              <w:t>+2.4</w:t>
            </w:r>
          </w:p>
        </w:tc>
        <w:tc>
          <w:tcPr>
            <w:tcW w:type="dxa" w:w="1331"/>
            <w:shd w:val="clear" w:color="auto" w:fill="EAEEF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2B2F38"/>
                <w:sz w:val="18"/>
              </w:rPr>
              <w:t>Portfolio 0.52 → 0.60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Planning estimate. Index expectations from comparable Q1 mechanics in seed_trade_promo_events_q1_2026.</w:t>
      </w:r>
    </w:p>
    <w:tbl>
      <w:tblPr>
        <w:tblW w:w="9504" w:type="dxa"/>
        <w:tblBorders>
          <w:top w:val="none"/>
          <w:left w:val="single" w:sz="24" w:color="2E7D5B"/>
          <w:bottom w:val="none"/>
          <w:right w:val="none"/>
          <w:insideH w:val="none"/>
          <w:insideV w:val="none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>What this is worth</w:t>
            </w:r>
          </w:p>
          <w:p>
            <w:pPr>
              <w:spacing w:after="40" w:line="274" w:lineRule="auto"/>
            </w:pPr>
            <w:r>
              <w:rPr>
                <w:rFonts w:ascii="Calibri" w:hAnsi="Calibri"/>
                <w:b w:val="0"/>
                <w:i w:val="0"/>
                <w:color w:val="2B2F38"/>
                <w:sz w:val="20"/>
              </w:rPr>
              <w:t>Moving the portfolio index from 0.52 to 0.60 on a $146M annual trade base is worth approximately 60 basis points of EBITDA — the largest single margin lever in the FY27 plan that does not touch A&amp;P, headcount or list price.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OBJECTIONS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5 · The three arguments against, answered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"Cutting depth loses volume."</w:t>
      </w:r>
      <w:r>
        <w:rPr>
          <w:rFonts w:ascii="Calibri" w:hAnsi="Calibri"/>
          <w:b w:val="0"/>
          <w:i w:val="0"/>
          <w:color w:val="2B2F38"/>
          <w:sz w:val="21"/>
        </w:rPr>
        <w:t xml:space="preserve"> It loses some promoted volume and keeps base volume. The index is precisely the measure of how much of the promoted volume was incremental — at 0.52, about half of what we lose was never ours to gain.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"Retailers will not accept it."</w:t>
      </w:r>
      <w:r>
        <w:rPr>
          <w:rFonts w:ascii="Calibri" w:hAnsi="Calibri"/>
          <w:b w:val="0"/>
          <w:i w:val="0"/>
          <w:color w:val="2B2F38"/>
          <w:sz w:val="21"/>
        </w:rPr>
        <w:t xml:space="preserve"> Feature and display are what retailers actually want in a category with declining units; both build category dollars. We are taking that case into the August Walmart line review (Report 77) as a joint growth argument.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"We need the depth to defend Louisiana."</w:t>
      </w:r>
      <w:r>
        <w:rPr>
          <w:rFonts w:ascii="Calibri" w:hAnsi="Calibri"/>
          <w:b w:val="0"/>
          <w:i w:val="0"/>
          <w:color w:val="2B2F38"/>
          <w:sz w:val="21"/>
        </w:rPr>
        <w:t xml:space="preserve"> Louisiana lost 340 basis points primarily because we lost facings, not because we lost price competitiveness. The recovery plan leads with shelf, not with depth (Report 76).</w:t>
      </w:r>
    </w:p>
    <w:p>
      <w:pPr>
        <w:keepNext w:val="0"/>
        <w:spacing w:after="4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BASELINE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6 · Where each brand starts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2281"/>
        <w:gridCol w:w="2091"/>
        <w:gridCol w:w="1711"/>
        <w:gridCol w:w="1331"/>
        <w:gridCol w:w="2091"/>
      </w:tblGrid>
      <w:tr>
        <w:tc>
          <w:tcPr>
            <w:tcW w:type="dxa" w:w="228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Brand</w:t>
            </w:r>
          </w:p>
        </w:tc>
        <w:tc>
          <w:tcPr>
            <w:tcW w:type="dxa" w:w="209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FY25 trade spend</w:t>
            </w:r>
          </w:p>
        </w:tc>
        <w:tc>
          <w:tcPr>
            <w:tcW w:type="dxa" w:w="171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Average depth</w:t>
            </w:r>
          </w:p>
        </w:tc>
        <w:tc>
          <w:tcPr>
            <w:tcW w:type="dxa" w:w="133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Index</w:t>
            </w:r>
          </w:p>
        </w:tc>
        <w:tc>
          <w:tcPr>
            <w:tcW w:type="dxa" w:w="209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FY27 cap</w:t>
            </w:r>
          </w:p>
        </w:tc>
      </w:tr>
      <w:tr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Crunchwell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$92.4M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24.4%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0.57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≤20%</w:t>
            </w:r>
          </w:p>
        </w:tc>
      </w:tr>
      <w:tr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HoneyNest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$21.7M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24.2%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0.51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≤15%</w:t>
            </w:r>
          </w:p>
        </w:tc>
      </w:tr>
      <w:tr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TrailGrove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$10.8M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13.5%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0.52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≤15%</w:t>
            </w:r>
          </w:p>
        </w:tc>
      </w:tr>
      <w:tr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MorningOats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$10.2M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17.8%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0.59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≤15%</w:t>
            </w:r>
          </w:p>
        </w:tc>
      </w:tr>
      <w:tr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ProteinPeak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$6.9M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11.5%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0.45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≤10%</w:t>
            </w:r>
          </w:p>
        </w:tc>
      </w:tr>
      <w:tr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RootDay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$4.7M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9.5%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0.43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≤15%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seed_trade_spend_fy25.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Recommendations &amp; next steps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475"/>
        <w:gridCol w:w="5227"/>
        <w:gridCol w:w="2281"/>
        <w:gridCol w:w="1521"/>
      </w:tblGrid>
      <w:tr>
        <w:tc>
          <w:tcPr>
            <w:tcW w:type="dxa" w:w="475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227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28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1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Approve the $2.4M/quarter reallocation inside the existing trade budget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CFO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By Aug 1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2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Approve the 0.45 index floor and the depth caps as policy (Report 64)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CFO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Aug 1 2026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3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Rebuild the Q3 and Q4 calendars against the floor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NAM team / Trade Finance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By Aug 15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4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Report portfolio and brand index monthly alongside spend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Trade Finance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From August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Approvals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2851"/>
        <w:gridCol w:w="4942"/>
        <w:gridCol w:w="1711"/>
      </w:tblGrid>
      <w:tr>
        <w:tc>
          <w:tcPr>
            <w:tcW w:type="dxa" w:w="285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Approver</w:t>
            </w:r>
          </w:p>
        </w:tc>
        <w:tc>
          <w:tcPr>
            <w:tcW w:type="dxa" w:w="494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Approving</w:t>
            </w:r>
          </w:p>
        </w:tc>
        <w:tc>
          <w:tcPr>
            <w:tcW w:type="dxa" w:w="171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CFO</w:t>
            </w:r>
          </w:p>
        </w:tc>
        <w:tc>
          <w:tcPr>
            <w:tcW w:type="dxa" w:w="494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the reallocation and the guardrails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________</w:t>
            </w:r>
          </w:p>
        </w:tc>
      </w:tr>
      <w:tr>
        <w:tc>
          <w:tcPr>
            <w:tcW w:type="dxa" w:w="285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Diane Halverson, VP Sales NA</w:t>
            </w:r>
          </w:p>
        </w:tc>
        <w:tc>
          <w:tcPr>
            <w:tcW w:type="dxa" w:w="494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customer-facing execution of the caps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________</w:t>
            </w:r>
          </w:p>
        </w:tc>
      </w:tr>
    </w:tbl>
    <w:p>
      <w:pPr>
        <w:keepNext w:val="0"/>
        <w:spacing w:after="60" w:before="0" w:line="274" w:lineRule="auto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</w:pPr>
    <w:r>
      <w:rPr>
        <w:rFonts w:ascii="Calibri" w:hAnsi="Calibri"/>
        <w:color w:val="5B6472"/>
        <w:sz w:val="15"/>
      </w:rPr>
      <w:t xml:space="preserve">Internal · Confidential — Acme Corp synthetic demo data. Fictional; not for real decision-making.     </w:t>
    </w:r>
    <w:r>
      <w:rPr>
        <w:rFonts w:ascii="Calibri" w:hAnsi="Calibri"/>
        <w:b/>
        <w:color w:val="5B6472"/>
        <w:sz w:val="15"/>
      </w:rPr>
      <w:t>Trade reallocation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Calibri" w:hAnsi="Calibri"/>
      <w:color w:val="2B2F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H2 FY2026 Trade Spend Reallocation — The Case</dc:title>
  <dc:subject/>
  <dc:creator>Acme Corp (synthetic)</dc:creator>
  <cp:keywords/>
  <dc:description>Internal funding memorandum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