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AFTER-ACTION REVIEW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Hurricane Tonya — Supply Disruption After-Action Review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What happened, what it cost us in share, what we did well and the five things we will do differently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VP Supply Chain with Customer Logistics and Category Insights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Event: November 2025 · Review completed July 2026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Scope: Houston, Thibodaux and Tyler DCs; Louisiana and Texas DMAs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Companion deck: Report 53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after-action review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89.6%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FILL TROUGH (2025-11)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2 quarters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TIME TO FULL RECOVERY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≈12%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SHARE OF THE LA DECLINE ATTRIBUTED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5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CHANGES COMMITTED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SUMMARY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What happened</w:t>
      </w:r>
    </w:p>
    <w:p>
      <w:pPr>
        <w:keepNext w:val="0"/>
        <w:spacing w:after="160" w:before="0" w:line="293" w:lineRule="auto"/>
      </w:pPr>
      <w:r>
        <w:rPr>
          <w:rFonts w:ascii="Calibri" w:hAnsi="Calibri"/>
          <w:b w:val="0"/>
          <w:i/>
          <w:color w:val="5B6472"/>
          <w:sz w:val="24"/>
        </w:rPr>
        <w:t>A two-week weather event produced a two-quarter service recovery and a permanent share loss. The recovery speed, not the event, is what we are reviewing.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Hurricane Tonya made landfall in November 2025. Fill rate across the affected network fell to 89.6% in 2025-11, driven by storm cuts at the Houston, Thibodaux and Tyler DCs, with production lag and quality-hold cuts compounding it over the following weeks. Service returned to normal levels — approximately 95% fill and 90% OTIF — by Q1 and Q2 FY2026, a recovery of roughly two quarters.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Over the same window, Crunchwell's Louisiana share fell from 6.06% to a trough of 3.97%. Root-cause attribution assigns approximately 12% of the 340 basis point decline to the supply event, behind the Walmart facing reset (≈55%) and Larksfield promotional intensity (≈20%). The supply event was not the largest cause, but it was the one entirely within our control.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72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73_fi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72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trough is sharp; the recovery is slow. The slope on the right-hand side is what this review is about.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COST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What it cost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661"/>
        <w:gridCol w:w="4182"/>
        <w:gridCol w:w="2661"/>
      </w:tblGrid>
      <w:tr>
        <w:tc>
          <w:tcPr>
            <w:tcW w:type="dxa" w:w="266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Consequence</w:t>
            </w:r>
          </w:p>
        </w:tc>
        <w:tc>
          <w:tcPr>
            <w:tcW w:type="dxa" w:w="418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Measure</w:t>
            </w:r>
          </w:p>
        </w:tc>
        <w:tc>
          <w:tcPr>
            <w:tcW w:type="dxa" w:w="266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Source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Fill-rate trough</w:t>
            </w:r>
          </w:p>
        </w:tc>
        <w:tc>
          <w:tcPr>
            <w:tcW w:type="dxa" w:w="418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89.6% in 2025-11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shipments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Storm-cut units</w:t>
            </w:r>
          </w:p>
        </w:tc>
        <w:tc>
          <w:tcPr>
            <w:tcW w:type="dxa" w:w="418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192.8K</w:t>
            </w:r>
          </w:p>
        </w:tc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shipments, Cut_Reason = Storm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Compounding cut reasons</w:t>
            </w:r>
          </w:p>
        </w:tc>
        <w:tc>
          <w:tcPr>
            <w:tcW w:type="dxa" w:w="418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Production_Lag and Quality_Hold both elevated post-event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shipments</w:t>
            </w:r>
          </w:p>
        </w:tc>
      </w:tr>
      <w:tr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Share attributed to supply</w:t>
            </w:r>
          </w:p>
        </w:tc>
        <w:tc>
          <w:tcPr>
            <w:tcW w:type="dxa" w:w="418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≈12% of the 340 bps Louisiana decline</w:t>
            </w:r>
          </w:p>
        </w:tc>
        <w:tc>
          <w:tcPr>
            <w:tcW w:type="dxa" w:w="266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Root-cause attribution (Report 58)</w:t>
            </w:r>
          </w:p>
        </w:tc>
      </w:tr>
      <w:tr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Residual door-level effect</w:t>
            </w:r>
          </w:p>
        </w:tc>
        <w:tc>
          <w:tcPr>
            <w:tcW w:type="dxa" w:w="418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 audited Rouses doors still below 70% OSA in 2026</w:t>
            </w:r>
          </w:p>
        </w:tc>
        <w:tc>
          <w:tcPr>
            <w:tcW w:type="dxa" w:w="266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seed_rouses_oos_by_door</w:t>
            </w:r>
          </w:p>
        </w:tc>
      </w:tr>
    </w:tbl>
    <w:p>
      <w:pPr>
        <w:keepNext w:val="0"/>
        <w:spacing w:after="60" w:before="0" w:line="274" w:lineRule="auto"/>
      </w:pPr>
    </w:p>
    <w:tbl>
      <w:tblPr>
        <w:tblW w:w="9504" w:type="dxa"/>
        <w:tblBorders>
          <w:top w:val="none"/>
          <w:left w:val="single" w:sz="24" w:color="B24A2E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The finding that matters most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Warehouse fill recovered months before store shelves did. Fourteen audited Louisiana doors were still below 70% on-shelf availability well into 2026, every one of them next to a Larksfield endcap. We measured our recovery at the DC and declared victory before the shelf agreed.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BY DC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Where the damage concentrated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372"/>
        <w:gridCol w:w="1711"/>
        <w:gridCol w:w="1711"/>
        <w:gridCol w:w="1711"/>
      </w:tblGrid>
      <w:tr>
        <w:tc>
          <w:tcPr>
            <w:tcW w:type="dxa" w:w="437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Retailer DC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Fill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OTIF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Order lines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Target Houston DC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86.0%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75.9%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348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Brookshire's Tyler DC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86.3%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74.3%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280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H-E-B Houston DC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86.4%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75.9%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348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Walmart Houston DC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86.4%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73.9%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272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Kroger Memphis DC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86.5%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75.6%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348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Rouses Thibodaux DC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86.5%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74.6%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382</w:t>
            </w:r>
          </w:p>
        </w:tc>
      </w:tr>
      <w:tr>
        <w:tc>
          <w:tcPr>
            <w:tcW w:type="dxa" w:w="437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Winn-Dixie Hammond DC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86.8%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74.7%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288</w:t>
            </w:r>
          </w:p>
        </w:tc>
      </w:tr>
      <w:tr>
        <w:tc>
          <w:tcPr>
            <w:tcW w:type="dxa" w:w="437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Walmart Chicago DC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94.3%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94.3%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314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shipments, October 2025 onward, ranked by fill ascending.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WHAT WENT WELL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Three things worth keeping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Allocation discipline held.</w:t>
      </w:r>
      <w:r>
        <w:rPr>
          <w:rFonts w:ascii="Calibri" w:hAnsi="Calibri"/>
          <w:b w:val="0"/>
          <w:i w:val="0"/>
          <w:color w:val="2B2F38"/>
          <w:sz w:val="21"/>
        </w:rPr>
        <w:t xml:space="preserve"> When capacity was short we protected the hero SKUs and the top-volume accounts rather than spreading the shortfall evenly. That was the right call and it is now the documented default.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Cut-reason coding stayed clean throughout.</w:t>
      </w:r>
      <w:r>
        <w:rPr>
          <w:rFonts w:ascii="Calibri" w:hAnsi="Calibri"/>
          <w:b w:val="0"/>
          <w:i w:val="0"/>
          <w:color w:val="2B2F38"/>
          <w:sz w:val="21"/>
        </w:rPr>
        <w:t xml:space="preserve"> Storm, Production_Lag and Quality_Hold were coded distinctly, which is the only reason this review can attribute anything at all.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Cross-functional escalation worked in week one.</w:t>
      </w:r>
      <w:r>
        <w:rPr>
          <w:rFonts w:ascii="Calibri" w:hAnsi="Calibri"/>
          <w:b w:val="0"/>
          <w:i w:val="0"/>
          <w:color w:val="2B2F38"/>
          <w:sz w:val="21"/>
        </w:rPr>
        <w:t xml:space="preserve"> Supply, Sales and Brand were in the same room within 48 hours of landfall.</w:t>
      </w:r>
    </w:p>
    <w:p>
      <w:pPr>
        <w:keepNext w:val="0"/>
        <w:spacing w:after="4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WHAT DID NOT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5 · Four things that failed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We measured recovery at the wrong level.</w:t>
      </w:r>
      <w:r>
        <w:rPr>
          <w:rFonts w:ascii="Calibri" w:hAnsi="Calibri"/>
          <w:b w:val="0"/>
          <w:i w:val="0"/>
          <w:color w:val="2B2F38"/>
          <w:sz w:val="21"/>
        </w:rPr>
        <w:t xml:space="preserve"> DC fill returned to normal while store OSA did not, and nothing in our reporting surfaced the gap.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Store-level recovery had no owner.</w:t>
      </w:r>
      <w:r>
        <w:rPr>
          <w:rFonts w:ascii="Calibri" w:hAnsi="Calibri"/>
          <w:b w:val="0"/>
          <w:i w:val="0"/>
          <w:color w:val="2B2F38"/>
          <w:sz w:val="21"/>
        </w:rPr>
        <w:t xml:space="preserve"> Once fill recovered, the event was closed at the supply end and nobody owned the shelf.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We did not contest the competitive response.</w:t>
      </w:r>
      <w:r>
        <w:rPr>
          <w:rFonts w:ascii="Calibri" w:hAnsi="Calibri"/>
          <w:b w:val="0"/>
          <w:i w:val="0"/>
          <w:color w:val="2B2F38"/>
          <w:sz w:val="21"/>
        </w:rPr>
        <w:t xml:space="preserve"> Larksfield took endcap space during the outage and kept it. There was no plan for winning it back.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No pre-positioning plan existed.</w:t>
      </w:r>
      <w:r>
        <w:rPr>
          <w:rFonts w:ascii="Calibri" w:hAnsi="Calibri"/>
          <w:b w:val="0"/>
          <w:i w:val="0"/>
          <w:color w:val="2B2F38"/>
          <w:sz w:val="21"/>
        </w:rPr>
        <w:t xml:space="preserve"> The Houston and Tyler DCs serve a hurricane-exposed region and held no seasonal buffer.</w:t>
      </w:r>
    </w:p>
    <w:p>
      <w:pPr>
        <w:keepNext w:val="0"/>
        <w:spacing w:after="4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EVIDENCE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6 · The door-level residue, months later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041"/>
        <w:gridCol w:w="1901"/>
        <w:gridCol w:w="1331"/>
        <w:gridCol w:w="1901"/>
        <w:gridCol w:w="1331"/>
      </w:tblGrid>
      <w:tr>
        <w:tc>
          <w:tcPr>
            <w:tcW w:type="dxa" w:w="304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SKU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City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OSA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Q1 2026 OOS days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Larksfield endcap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Baton Rouge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58%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21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Y</w:t>
            </w:r>
          </w:p>
        </w:tc>
      </w:tr>
      <w:tr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Houma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60%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19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Thibodaux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62%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18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Y</w:t>
            </w:r>
          </w:p>
        </w:tc>
      </w:tr>
      <w:tr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Baton Rouge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64%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16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Metairie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66%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15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Y</w:t>
            </w:r>
          </w:p>
        </w:tc>
      </w:tr>
      <w:tr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Slidell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67%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14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Lafayette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69%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12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Y</w:t>
            </w:r>
          </w:p>
        </w:tc>
      </w:tr>
      <w:tr>
        <w:tc>
          <w:tcPr>
            <w:tcW w:type="dxa" w:w="304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New Orleans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71%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11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Y</w:t>
            </w:r>
          </w:p>
        </w:tc>
      </w:tr>
      <w:tr>
        <w:tc>
          <w:tcPr>
            <w:tcW w:type="dxa" w:w="304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Crunchwell Original Mega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Rouses-LA-Total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73%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11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Y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seed_rouses_oos_by_door.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CHANGES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7 · The five commitments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570"/>
        <w:gridCol w:w="4942"/>
        <w:gridCol w:w="2281"/>
        <w:gridCol w:w="1711"/>
      </w:tblGrid>
      <w:tr>
        <w:tc>
          <w:tcPr>
            <w:tcW w:type="dxa" w:w="570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94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Change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 place by</w:t>
            </w:r>
          </w:p>
        </w:tc>
      </w:tr>
      <w:tr>
        <w:tc>
          <w:tcPr>
            <w:tcW w:type="dxa" w:w="57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1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Pre-position seasonal inventory at Houston and Tyler from week 32 each year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VP Supply Chain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Aug 15 2026</w:t>
            </w:r>
          </w:p>
        </w:tc>
      </w:tr>
      <w:tr>
        <w:tc>
          <w:tcPr>
            <w:tcW w:type="dxa" w:w="570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</w:t>
            </w:r>
          </w:p>
        </w:tc>
        <w:tc>
          <w:tcPr>
            <w:tcW w:type="dxa" w:w="494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Recovery is measured at store OSA, not DC fill; both reported until OSA recovers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Customer Logistics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Sep 1 2026</w:t>
            </w:r>
          </w:p>
        </w:tc>
      </w:tr>
      <w:tr>
        <w:tc>
          <w:tcPr>
            <w:tcW w:type="dxa" w:w="57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3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Named store-recovery owner appointed at the start of any service event, separate from the supply owner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VP Supply Chain / VP Sales NA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Immediate</w:t>
            </w:r>
          </w:p>
        </w:tc>
      </w:tr>
      <w:tr>
        <w:tc>
          <w:tcPr>
            <w:tcW w:type="dxa" w:w="570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4</w:t>
            </w:r>
          </w:p>
        </w:tc>
        <w:tc>
          <w:tcPr>
            <w:tcW w:type="dxa" w:w="494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Competitive shelf-response plan is part of the service-event playbook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Marcus Boudreaux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Sep 1 2026</w:t>
            </w:r>
          </w:p>
        </w:tc>
      </w:tr>
      <w:tr>
        <w:tc>
          <w:tcPr>
            <w:tcW w:type="dxa" w:w="570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5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Alternate DC routing pre-agreed with the top five Southern customers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Customer Logistics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Oct 1 2026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Adopt the five changes as standing supply-chain policy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VP Supply Chain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By Sep 1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Fund third-party merchandising in the 14 worst Louisiana doors for 12 weeks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Customer Logistics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From Aug 1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Add store-level OSA to the monthly service scorecard for the top-100 volume stores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Customer Logistics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By Sep 1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Re-run this review against the 2026 hurricane season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VP Supply Chain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January 2027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Approvals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851"/>
        <w:gridCol w:w="4942"/>
        <w:gridCol w:w="1711"/>
      </w:tblGrid>
      <w:tr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Approver</w:t>
            </w:r>
          </w:p>
        </w:tc>
        <w:tc>
          <w:tcPr>
            <w:tcW w:type="dxa" w:w="494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Approving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VP Supply Chain</w:t>
            </w:r>
          </w:p>
        </w:tc>
        <w:tc>
          <w:tcPr>
            <w:tcW w:type="dxa" w:w="494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the findings and the five changes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  <w:tr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Diane Halverson, VP Sales NA</w:t>
            </w:r>
          </w:p>
        </w:tc>
        <w:tc>
          <w:tcPr>
            <w:tcW w:type="dxa" w:w="494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the store-recovery ownership model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________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Tonya after-action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Hurricane Tonya — Supply Disruption After-Action Review</dc:title>
  <dc:subject/>
  <dc:creator>Acme Corp (synthetic)</dc:creator>
  <cp:keywords/>
  <dc:description>Internal after-action review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