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STANDARD · MEASUREMENT &amp; GOVERNANCE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Retail Media Measurement and Governance Standard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Which number governs which decision, who owns each one, and what we stop reporting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Tasha Brooks, Director — eCommerce &amp; Retail Media, with Hugo Lin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Effective: August 1 2026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Applies to: all retail-media platforms and agencies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documents: Reports 55 and 74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measurement standard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Modelled incrementality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THE GOVERNING METRIC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$0.65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CURRENT BLENDED RATIO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1.00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FY29 TARGET RATIO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4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PLATFORMS IN SCOPE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PURPOSE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Why this standard exists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We run four retail-media platforms that each report a different number using a different attribution window, and we make budget decisions across all four. Without one governing metric, the platform with the most generous attribution wins the budget — which is precisely what has been happening. Q1 FY2026 shows Amazon Ads reporting 1.12 ROAS on a modelled incrementality of 0.40, against Walmart Connect at 2.06 reported and 1.20 modelled.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RULE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One metric governs budget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Budget allocation across platforms uses modelled incrementality ratio only.</w:t>
      </w:r>
      <w:r>
        <w:rPr>
          <w:rFonts w:ascii="Calibri" w:hAnsi="Calibri"/>
          <w:b w:val="0"/>
          <w:i w:val="0"/>
          <w:color w:val="2B2F38"/>
          <w:sz w:val="21"/>
        </w:rPr>
        <w:t xml:space="preserve"> No exceptions.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Platform-reported ROAS is used for in-flight optimisation</w:t>
      </w:r>
      <w:r>
        <w:rPr>
          <w:rFonts w:ascii="Calibri" w:hAnsi="Calibri"/>
          <w:b w:val="0"/>
          <w:i w:val="0"/>
          <w:color w:val="2B2F38"/>
          <w:sz w:val="21"/>
        </w:rPr>
        <w:t xml:space="preserve"> — creative, bidding, keyword and audience decisions inside an already-approved budget.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Cannibalised and undetermined revenue are reported explicitly</w:t>
      </w:r>
      <w:r>
        <w:rPr>
          <w:rFonts w:ascii="Calibri" w:hAnsi="Calibri"/>
          <w:b w:val="0"/>
          <w:i w:val="0"/>
          <w:color w:val="2B2F38"/>
          <w:sz w:val="21"/>
        </w:rPr>
        <w:t>, not netted into the incremental figure.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Every platform is re-measured quarterly.</w:t>
      </w:r>
      <w:r>
        <w:rPr>
          <w:rFonts w:ascii="Calibri" w:hAnsi="Calibri"/>
          <w:b w:val="0"/>
          <w:i w:val="0"/>
          <w:color w:val="2B2F38"/>
          <w:sz w:val="21"/>
        </w:rPr>
        <w:t xml:space="preserve"> A platform's ratio is a current estimate, not a standing property.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Agencies are briefed on modelled incrementality</w:t>
      </w:r>
      <w:r>
        <w:rPr>
          <w:rFonts w:ascii="Calibri" w:hAnsi="Calibri"/>
          <w:b w:val="0"/>
          <w:i w:val="0"/>
          <w:color w:val="2B2F38"/>
          <w:sz w:val="21"/>
        </w:rPr>
        <w:t>, and their performance is assessed against it rather than against platform dashboards.</w:t>
      </w:r>
    </w:p>
    <w:p>
      <w:pPr>
        <w:keepNext w:val="0"/>
        <w:spacing w:after="40" w:before="0" w:line="274" w:lineRule="auto"/>
      </w:pP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661"/>
        <w:gridCol w:w="2851"/>
        <w:gridCol w:w="2091"/>
        <w:gridCol w:w="1901"/>
      </w:tblGrid>
      <w:tr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Governing metric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Cadence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Budget split across platforms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Modelled incrementality ratio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Tasha Brooks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Quarterly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Budget split across brands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Modelled incremental revenue by brand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Hugo Lin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Quarterly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Creative, bidding, audience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Platform-reported metrics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Agency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Weekly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Total retail-media envelope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Blended ratio versus target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CMO / CFO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Annual planning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Platform continuation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Two consecutive quarters below 0.50 ratio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Tasha Brooks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Quarterly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5_rat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current baseline. A platform below 0.50 for two consecutive quarters comes up for a continuation decision.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DEFINITIONS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What each number means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281"/>
        <w:gridCol w:w="4942"/>
        <w:gridCol w:w="2281"/>
      </w:tblGrid>
      <w:tr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Term</w:t>
            </w:r>
          </w:p>
        </w:tc>
        <w:tc>
          <w:tcPr>
            <w:tcW w:type="dxa" w:w="494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Definition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Spend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Gross media spend committed to the platform in the period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Platform invoice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Platform-reported ROAS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Revenue attributed by the platform ÷ spend, on the platform's own attribution window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Platform dashboard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Modelled incremental revenue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Revenue the model attributes to the exposure that would not otherwise have occurred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Acme mix model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Cannibalised base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Exposed revenue the model attributes to already-planned purchase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Acme mix model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Undetermined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Exposed revenue the model cannot confidently classify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Acme mix model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Modelled incrementality ratio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Modelled incremental revenue ÷ spend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Derived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Field names match seed_retail_media_spend_q1_2026 so the standard and the data stay in step.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REPORTING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What we start and stop reporting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4.1 · Starts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 w:val="0"/>
          <w:i w:val="0"/>
          <w:color w:val="2B2F38"/>
          <w:sz w:val="21"/>
        </w:rPr>
        <w:t>Monthly modelled incrementality ratio by platform and by brand, in the commercial review.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 w:val="0"/>
          <w:i w:val="0"/>
          <w:color w:val="2B2F38"/>
          <w:sz w:val="21"/>
        </w:rPr>
        <w:t>Explicit cannibalised and undetermined lines alongside incremental revenue.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 w:val="0"/>
          <w:i w:val="0"/>
          <w:color w:val="2B2F38"/>
          <w:sz w:val="21"/>
        </w:rPr>
        <w:t>A named confidence level on each platform's modelled figure.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 w:val="0"/>
          <w:i w:val="0"/>
          <w:color w:val="2B2F38"/>
          <w:sz w:val="21"/>
        </w:rPr>
        <w:t>Louisiana and other priority-DMA cuts where spend is geo-weighted.</w:t>
      </w:r>
    </w:p>
    <w:p>
      <w:pPr>
        <w:keepNext w:val="0"/>
        <w:spacing w:after="4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4.2 · Stops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 w:val="0"/>
          <w:i w:val="0"/>
          <w:color w:val="2B2F38"/>
          <w:sz w:val="21"/>
        </w:rPr>
        <w:t>Platform-reported ROAS as a headline in any budget document.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 w:val="0"/>
          <w:i w:val="0"/>
          <w:color w:val="2B2F38"/>
          <w:sz w:val="21"/>
        </w:rPr>
        <w:t>Blended ROAS across platforms — it averages incompatible attribution windows.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 w:val="0"/>
          <w:i w:val="0"/>
          <w:color w:val="2B2F38"/>
          <w:sz w:val="21"/>
        </w:rPr>
        <w:t>Any comparison of one platform's reported number to another's.</w:t>
      </w:r>
    </w:p>
    <w:p>
      <w:pPr>
        <w:keepNext w:val="0"/>
        <w:spacing w:after="40" w:before="0" w:line="274" w:lineRule="auto"/>
      </w:pPr>
    </w:p>
    <w:tbl>
      <w:tblPr>
        <w:tblW w:w="9504" w:type="dxa"/>
        <w:tblBorders>
          <w:top w:val="none"/>
          <w:left w:val="single" w:sz="24" w:color="B98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The practical consequence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Under this standard, the Q1 FY2026 allocation would not have been approved. Amazon Ads at a 0.40 ratio would have been capped, and the H2 reallocation (Report 74) is the correction. The standard exists so the correction does not have to happen again annually.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BASELINE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Where each brand starts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231"/>
        <w:gridCol w:w="2091"/>
        <w:gridCol w:w="2471"/>
        <w:gridCol w:w="1711"/>
      </w:tblGrid>
      <w:tr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Brand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Q1 spend</w:t>
            </w:r>
          </w:p>
        </w:tc>
        <w:tc>
          <w:tcPr>
            <w:tcW w:type="dxa" w:w="247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Modelled incremental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Crunchwell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$2.14M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$1.51M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0.74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ProteinPeak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$1.20M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$0.75M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0.82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MorningOats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$0.41M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$0.25M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0.75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TrailGrove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$0.30M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$0.11M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0.36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HoneyNest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$0.11M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$0.09M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0.83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RootDay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$0.04M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$0.01M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0.35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seed_retail_media_spend_q1_2026.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Adopt the standard with effect from August 1 2026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CMO / CFO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1 2026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Re-brief all retail-media agencies against modelled incrementality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Tasha Brooks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Aug 15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Add the monthly incrementality report to the commercial review pack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Hugo Lin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From August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Set the FY27 target blended ratio at 0.85 and the FY29 target at 1.00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CMO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FY27 planning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5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Review platform continuation for any platform below 0.50 for two quarters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Tasha Brooks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Quarterly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Approvals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4942"/>
        <w:gridCol w:w="1711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Approver</w:t>
            </w:r>
          </w:p>
        </w:tc>
        <w:tc>
          <w:tcPr>
            <w:tcW w:type="dxa" w:w="494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Approving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CMO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standard and the governing metric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budget-decision rule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Tasha Brooks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platform-level application and agency briefing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Retail media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Media Measurement and Governance Standard</dc:title>
  <dc:subject/>
  <dc:creator>Acme Corp (synthetic)</dc:creator>
  <cp:keywords/>
  <dc:description>Internal measurement standard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