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60" w:before="0" w:line="274" w:lineRule="auto"/>
      </w:pPr>
      <w:r>
        <w:rPr>
          <w:rFonts w:ascii="Calibri" w:hAnsi="Calibri"/>
          <w:b/>
          <w:i w:val="0"/>
          <w:color w:val="2E7D75"/>
          <w:sz w:val="19"/>
        </w:rPr>
        <w:t>NEGOTIATION BRIEF · INTERNAL</w:t>
      </w:r>
    </w:p>
    <w:p>
      <w:pPr>
        <w:keepNext w:val="0"/>
        <w:spacing w:after="120" w:before="0" w:line="259" w:lineRule="auto"/>
      </w:pPr>
      <w:r>
        <w:rPr>
          <w:rFonts w:ascii="Calibri" w:hAnsi="Calibri"/>
          <w:b/>
          <w:i w:val="0"/>
          <w:color w:val="1F2A44"/>
          <w:sz w:val="46"/>
        </w:rPr>
        <w:t>Walmart August 2026 Line Review — Negotiation Brief</w:t>
      </w:r>
    </w:p>
    <w:p>
      <w:pPr>
        <w:keepNext w:val="0"/>
        <w:spacing w:after="160" w:before="0" w:line="288" w:lineRule="auto"/>
      </w:pPr>
      <w:r>
        <w:rPr>
          <w:rFonts w:ascii="Calibri" w:hAnsi="Calibri"/>
          <w:b w:val="0"/>
          <w:i w:val="0"/>
          <w:color w:val="5B6472"/>
          <w:sz w:val="26"/>
        </w:rPr>
        <w:t>Our four asks, what we are prepared to give, the buyer's likely position, and our walk-away points</w:t>
      </w:r>
    </w:p>
    <w:p>
      <w:pPr>
        <w:spacing w:after="120"/>
        <w:pBdr>
          <w:bottom w:val="single" w:sz="6" w:space="1" w:color="C9D2DB"/>
        </w:pBdr>
      </w:pPr>
    </w:p>
    <w:p>
      <w:pPr>
        <w:keepNext w:val="0"/>
        <w:spacing w:after="40" w:before="0" w:line="274" w:lineRule="auto"/>
      </w:pPr>
      <w:r>
        <w:rPr>
          <w:rFonts w:ascii="Calibri" w:hAnsi="Calibri"/>
          <w:b/>
          <w:i w:val="0"/>
          <w:color w:val="5B6472"/>
          <w:sz w:val="20"/>
        </w:rPr>
        <w:t>Marcus Boudreaux, Director Sales South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Meeting: Walmart August 2026 line review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Internal only — not for distribution outside Acme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Companion deck: Report 59 · Recovery plan: Report 76</w:t>
      </w:r>
    </w:p>
    <w:p>
      <w:pPr>
        <w:keepNext w:val="0"/>
        <w:spacing w:after="20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Internal negotiation brief · Internal · Confidential — synthetic demo data</w:t>
      </w: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At a glance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96" w:type="dxa"/>
          <w:bottom w:w="40" w:type="dxa"/>
          <w:right w:w="96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$184M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ACME REVENUE AT WALMART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5.2%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OUR PROTEIN SHARE HERE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18.4%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THE SAME NUMBER AT TARGET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4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ASKS</w:t>
            </w:r>
          </w:p>
        </w:tc>
      </w:tr>
    </w:tbl>
    <w:p>
      <w:pPr>
        <w:keepNext w:val="0"/>
        <w:spacing w:after="8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THE SITUATION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1 · Where we stand going in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Walmart is $184M of Acme revenue at 21.4% ACV weight — more than twice our next-largest customer. Two issues dominate this review. First, our Wellness Protein position here is 5.2% against 18.4% at Target on identical assortment and identical shelf price. Second, the September 2025 Louisiana modular cut Crunchwell Mega from 8 facings to 6, and Louisiana category dollars have fallen -2.8% since.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Both are framed as joint growth problems in the room. Neither is framed as a complaint. The buyer's incentive is category dollars per linear foot, and both asks improve that number.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THE ASKS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2 · Four asks, in priority order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475"/>
        <w:gridCol w:w="2566"/>
        <w:gridCol w:w="3802"/>
        <w:gridCol w:w="2661"/>
      </w:tblGrid>
      <w:tr>
        <w:tc>
          <w:tcPr>
            <w:tcW w:type="dxa" w:w="475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566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Ask</w:t>
            </w:r>
          </w:p>
        </w:tc>
        <w:tc>
          <w:tcPr>
            <w:tcW w:type="dxa" w:w="3802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Why it works for Walmart</w:t>
            </w:r>
          </w:p>
        </w:tc>
        <w:tc>
          <w:tcPr>
            <w:tcW w:type="dxa" w:w="266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Our fallback</w:t>
            </w:r>
          </w:p>
        </w:tc>
      </w:tr>
      <w:tr>
        <w:tc>
          <w:tcPr>
            <w:tcW w:type="dxa" w:w="475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1</w:t>
            </w:r>
          </w:p>
        </w:tc>
        <w:tc>
          <w:tcPr>
            <w:tcW w:type="dxa" w:w="2566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Full ProteinPeak line authorisation, including PP005 and PP006</w:t>
            </w:r>
          </w:p>
        </w:tc>
        <w:tc>
          <w:tcPr>
            <w:tcW w:type="dxa" w:w="380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Wellness Protein is the fastest-growing pocket in the category (+12.0% here); we are under-assorted against demand</w:t>
            </w:r>
          </w:p>
        </w:tc>
        <w:tc>
          <w:tcPr>
            <w:tcW w:type="dxa" w:w="266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Two-SKU authorisation in the top two-thirds of stores by ACV</w:t>
            </w:r>
          </w:p>
        </w:tc>
      </w:tr>
      <w:tr>
        <w:tc>
          <w:tcPr>
            <w:tcW w:type="dxa" w:w="475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2</w:t>
            </w:r>
          </w:p>
        </w:tc>
        <w:tc>
          <w:tcPr>
            <w:tcW w:type="dxa" w:w="2566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Crunchwell Mega restored to 8 facings in the Louisiana DMA modular</w:t>
            </w:r>
          </w:p>
        </w:tc>
        <w:tc>
          <w:tcPr>
            <w:tcW w:type="dxa" w:w="380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Louisiana category dollars are -2.8%; the reset moved space to a lower-velocity assortment</w:t>
            </w:r>
          </w:p>
        </w:tc>
        <w:tc>
          <w:tcPr>
            <w:tcW w:type="dxa" w:w="266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7 facings plus committed endcap in two windows</w:t>
            </w:r>
          </w:p>
        </w:tc>
      </w:tr>
      <w:tr>
        <w:tc>
          <w:tcPr>
            <w:tcW w:type="dxa" w:w="475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3</w:t>
            </w:r>
          </w:p>
        </w:tc>
        <w:tc>
          <w:tcPr>
            <w:tcW w:type="dxa" w:w="2566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One endcap per Louisiana supercenter across two windows</w:t>
            </w:r>
          </w:p>
        </w:tc>
        <w:tc>
          <w:tcPr>
            <w:tcW w:type="dxa" w:w="380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Display drives category dollars; our audit shows Larksfield holding the display and the category still shrinking</w:t>
            </w:r>
          </w:p>
        </w:tc>
        <w:tc>
          <w:tcPr>
            <w:tcW w:type="dxa" w:w="266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One window plus joint OSA programme</w:t>
            </w:r>
          </w:p>
        </w:tc>
      </w:tr>
      <w:tr>
        <w:tc>
          <w:tcPr>
            <w:tcW w:type="dxa" w:w="475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4</w:t>
            </w:r>
          </w:p>
        </w:tc>
        <w:tc>
          <w:tcPr>
            <w:tcW w:type="dxa" w:w="2566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Chocolate Almond authorisation at the Q4 review</w:t>
            </w:r>
          </w:p>
        </w:tc>
        <w:tc>
          <w:tcPr>
            <w:tcW w:type="dxa" w:w="380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64% top-two-box, clears our action standard by 9 points; extends the fastest-growing segment</w:t>
            </w:r>
          </w:p>
        </w:tc>
        <w:tc>
          <w:tcPr>
            <w:tcW w:type="dxa" w:w="266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Q1 FY27 authorisation with a Q4 commitment letter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6"/>
        </w:rPr>
        <w:t>Source: seed_category_market_size retailer cuts, seed_walmart_endcap_audit_la, seed_concept_test_chocolate_almond.</w:t>
      </w:r>
    </w:p>
    <w:p>
      <w:pPr>
        <w:spacing w:before="80" w:after="40"/>
      </w:pPr>
      <w:r>
        <w:drawing>
          <wp:inline xmlns:a="http://schemas.openxmlformats.org/drawingml/2006/main" xmlns:pic="http://schemas.openxmlformats.org/drawingml/2006/picture">
            <wp:extent cx="6035040" cy="2398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77_prote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98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7"/>
        </w:rPr>
        <w:t>The chart we lead with. Same items, same price, one third of the share.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WHAT WE GIVE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3 · What we are prepared to put on the table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Pack Refresh readiness.</w:t>
      </w:r>
      <w:r>
        <w:rPr>
          <w:rFonts w:ascii="Calibri" w:hAnsi="Calibri"/>
          <w:b w:val="0"/>
          <w:i w:val="0"/>
          <w:color w:val="2B2F38"/>
          <w:sz w:val="21"/>
        </w:rPr>
        <w:t xml:space="preserve"> Modular-ready planograms and pre-built inventory for the August 15 2026 Crunchwell Pack Refresh, so the reset costs Walmart nothing in service.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Trade calendar quality.</w:t>
      </w:r>
      <w:r>
        <w:rPr>
          <w:rFonts w:ascii="Calibri" w:hAnsi="Calibri"/>
          <w:b w:val="0"/>
          <w:i w:val="0"/>
          <w:color w:val="2B2F38"/>
          <w:sz w:val="21"/>
        </w:rPr>
        <w:t xml:space="preserve"> FY27 calendar rebuilt to a 0.60 incrementality floor — fewer, better-timed events. Q1 ran 3 events at $2.5M and an index of 0.57.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Feature-and-display weight instead of depth.</w:t>
      </w:r>
      <w:r>
        <w:rPr>
          <w:rFonts w:ascii="Calibri" w:hAnsi="Calibri"/>
          <w:b w:val="0"/>
          <w:i w:val="0"/>
          <w:color w:val="2B2F38"/>
          <w:sz w:val="21"/>
        </w:rPr>
        <w:t xml:space="preserve"> A 30% increase in feature-and-display support, funded from the depth reduction, which builds category dollars rather than discounting them.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Back-to-school scale.</w:t>
      </w:r>
      <w:r>
        <w:rPr>
          <w:rFonts w:ascii="Calibri" w:hAnsi="Calibri"/>
          <w:b w:val="0"/>
          <w:i w:val="0"/>
          <w:color w:val="2B2F38"/>
          <w:sz w:val="21"/>
        </w:rPr>
        <w:t xml:space="preserve"> This account carries the highest kids-household cereal share of any retailer; we will scale the BTS programme to match.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Joint OSA programme</w:t>
      </w:r>
      <w:r>
        <w:rPr>
          <w:rFonts w:ascii="Calibri" w:hAnsi="Calibri"/>
          <w:b w:val="0"/>
          <w:i w:val="0"/>
          <w:color w:val="2B2F38"/>
          <w:sz w:val="21"/>
        </w:rPr>
        <w:t xml:space="preserve"> in the 14 lowest-performing Louisiana doors, with Acme funding third-party merchandising.</w:t>
      </w:r>
    </w:p>
    <w:p>
      <w:pPr>
        <w:keepNext w:val="0"/>
        <w:spacing w:after="4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THEIR POSITION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4 · What we expect from the buyer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3612"/>
        <w:gridCol w:w="5892"/>
      </w:tblGrid>
      <w:tr>
        <w:tc>
          <w:tcPr>
            <w:tcW w:type="dxa" w:w="3612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Likely buyer position</w:t>
            </w:r>
          </w:p>
        </w:tc>
        <w:tc>
          <w:tcPr>
            <w:tcW w:type="dxa" w:w="5892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Our response</w:t>
            </w:r>
          </w:p>
        </w:tc>
      </w:tr>
      <w:tr>
        <w:tc>
          <w:tcPr>
            <w:tcW w:type="dxa" w:w="361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"Your Crunchwell velocity does not justify 8 facings"</w:t>
            </w:r>
          </w:p>
        </w:tc>
        <w:tc>
          <w:tcPr>
            <w:tcW w:type="dxa" w:w="589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Velocity is depressed by out-of-stocks, not demand: audited Mega OOS runs at 29% in the worst city. Fix availability and the velocity case changes.</w:t>
            </w:r>
          </w:p>
        </w:tc>
      </w:tr>
      <w:tr>
        <w:tc>
          <w:tcPr>
            <w:tcW w:type="dxa" w:w="361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"Protein is a premium item; our shopper is price-led"</w:t>
            </w:r>
          </w:p>
        </w:tc>
        <w:tc>
          <w:tcPr>
            <w:tcW w:type="dxa" w:w="589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Target's shopper is not three times more premium than yours. The difference is display and assortment, not demographics — and protein grew +12.0% in this account.</w:t>
            </w:r>
          </w:p>
        </w:tc>
      </w:tr>
      <w:tr>
        <w:tc>
          <w:tcPr>
            <w:tcW w:type="dxa" w:w="361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"We need deeper promotions to move the category"</w:t>
            </w:r>
          </w:p>
        </w:tc>
        <w:tc>
          <w:tcPr>
            <w:tcW w:type="dxa" w:w="589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Our Q1 index of 0.57 says half of promoted volume was not incremental. Feature and display index higher on every brand we run them on.</w:t>
            </w:r>
          </w:p>
        </w:tc>
      </w:tr>
      <w:tr>
        <w:tc>
          <w:tcPr>
            <w:tcW w:type="dxa" w:w="361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"Endcap space is committed"</w:t>
            </w:r>
          </w:p>
        </w:tc>
        <w:tc>
          <w:tcPr>
            <w:tcW w:type="dxa" w:w="589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One window plus the joint OSA programme is our fallback; we will take a written commitment for the second window in the FY27 JBP.</w:t>
            </w:r>
          </w:p>
        </w:tc>
      </w:tr>
      <w:tr>
        <w:tc>
          <w:tcPr>
            <w:tcW w:type="dxa" w:w="361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"Prove the Pack Refresh will not disrupt service"</w:t>
            </w:r>
          </w:p>
        </w:tc>
        <w:tc>
          <w:tcPr>
            <w:tcW w:type="dxa" w:w="589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Pre-build in weeks 31–32 and a named changeover plan (Report 72).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WALK-AWAY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5 · Our limits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We do not fund facings with depth.</w:t>
      </w:r>
      <w:r>
        <w:rPr>
          <w:rFonts w:ascii="Calibri" w:hAnsi="Calibri"/>
          <w:b w:val="0"/>
          <w:i w:val="0"/>
          <w:color w:val="2B2F38"/>
          <w:sz w:val="21"/>
        </w:rPr>
        <w:t xml:space="preserve"> The RGM policy caps Mega depth at 20% and prohibits stacking with retailer funds (Report 64). This is not negotiable in the room.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We do not discount ProteinPeak beyond 10%.</w:t>
      </w:r>
      <w:r>
        <w:rPr>
          <w:rFonts w:ascii="Calibri" w:hAnsi="Calibri"/>
          <w:b w:val="0"/>
          <w:i w:val="0"/>
          <w:color w:val="2B2F38"/>
          <w:sz w:val="21"/>
        </w:rPr>
        <w:t xml:space="preserve"> A premium item trained to discount stops being a premium item, and this account would set the reference price for every other.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We do not accept a Louisiana endcap commitment without a facing commitment.</w:t>
      </w:r>
      <w:r>
        <w:rPr>
          <w:rFonts w:ascii="Calibri" w:hAnsi="Calibri"/>
          <w:b w:val="0"/>
          <w:i w:val="0"/>
          <w:color w:val="2B2F38"/>
          <w:sz w:val="21"/>
        </w:rPr>
        <w:t xml:space="preserve"> Display without shelf presence produces one good week and no base recovery.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We do not trade Chocolate Almond exclusivity for depth.</w:t>
      </w:r>
      <w:r>
        <w:rPr>
          <w:rFonts w:ascii="Calibri" w:hAnsi="Calibri"/>
          <w:b w:val="0"/>
          <w:i w:val="0"/>
          <w:color w:val="2B2F38"/>
          <w:sz w:val="21"/>
        </w:rPr>
        <w:t xml:space="preserve"> If exclusivity is on the table, the price is distribution breadth, not price investment.</w:t>
      </w:r>
    </w:p>
    <w:p>
      <w:pPr>
        <w:keepNext w:val="0"/>
        <w:spacing w:after="40" w:before="0" w:line="274" w:lineRule="auto"/>
      </w:pPr>
    </w:p>
    <w:tbl>
      <w:tblPr>
        <w:tblW w:w="9504" w:type="dxa"/>
        <w:tblBorders>
          <w:top w:val="none"/>
          <w:left w:val="single" w:sz="24" w:color="B24A2E"/>
          <w:bottom w:val="none"/>
          <w:right w:val="none"/>
          <w:insideH w:val="none"/>
          <w:insideV w:val="none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21"/>
              </w:rPr>
              <w:t>One risk to raise before they do</w:t>
            </w:r>
          </w:p>
          <w:p>
            <w:pPr>
              <w:spacing w:after="40" w:line="274" w:lineRule="auto"/>
            </w:pPr>
            <w:r>
              <w:rPr>
                <w:rFonts w:ascii="Calibri" w:hAnsi="Calibri"/>
                <w:b w:val="0"/>
                <w:i w:val="0"/>
                <w:color w:val="2B2F38"/>
                <w:sz w:val="20"/>
              </w:rPr>
              <w:t>H-E-B has Crunchwell Cinnamon Twist at a 0.88 delist-risk score with a review on 2026-09-15 00:00:00. If Walmart raises portfolio rationalisation, we should be first to name the SKUs we ourselves are discontinuing (Report 69) rather than defending everything.</w:t>
            </w:r>
          </w:p>
        </w:tc>
      </w:tr>
    </w:tbl>
    <w:p>
      <w:pPr>
        <w:keepNext w:val="0"/>
        <w:spacing w:after="8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SCORECARD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6 · What we ask to review quarterly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4372"/>
        <w:gridCol w:w="2566"/>
        <w:gridCol w:w="2566"/>
      </w:tblGrid>
      <w:tr>
        <w:tc>
          <w:tcPr>
            <w:tcW w:type="dxa" w:w="4372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Measure</w:t>
            </w:r>
          </w:p>
        </w:tc>
        <w:tc>
          <w:tcPr>
            <w:tcW w:type="dxa" w:w="2566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Today</w:t>
            </w:r>
          </w:p>
        </w:tc>
        <w:tc>
          <w:tcPr>
            <w:tcW w:type="dxa" w:w="2566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FY27 target</w:t>
            </w:r>
          </w:p>
        </w:tc>
      </w:tr>
      <w:tr>
        <w:tc>
          <w:tcPr>
            <w:tcW w:type="dxa" w:w="437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Acme revenue at Walmart</w:t>
            </w:r>
          </w:p>
        </w:tc>
        <w:tc>
          <w:tcPr>
            <w:tcW w:type="dxa" w:w="256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$184M</w:t>
            </w:r>
          </w:p>
        </w:tc>
        <w:tc>
          <w:tcPr>
            <w:tcW w:type="dxa" w:w="256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$196M</w:t>
            </w:r>
          </w:p>
        </w:tc>
      </w:tr>
      <w:tr>
        <w:tc>
          <w:tcPr>
            <w:tcW w:type="dxa" w:w="437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Acme Wellness Protein share</w:t>
            </w:r>
          </w:p>
        </w:tc>
        <w:tc>
          <w:tcPr>
            <w:tcW w:type="dxa" w:w="2566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5.2%</w:t>
            </w:r>
          </w:p>
        </w:tc>
        <w:tc>
          <w:tcPr>
            <w:tcW w:type="dxa" w:w="2566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≥9%</w:t>
            </w:r>
          </w:p>
        </w:tc>
      </w:tr>
      <w:tr>
        <w:tc>
          <w:tcPr>
            <w:tcW w:type="dxa" w:w="437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Crunchwell Mega facings, Louisiana</w:t>
            </w:r>
          </w:p>
        </w:tc>
        <w:tc>
          <w:tcPr>
            <w:tcW w:type="dxa" w:w="256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4.1</w:t>
            </w:r>
          </w:p>
        </w:tc>
        <w:tc>
          <w:tcPr>
            <w:tcW w:type="dxa" w:w="256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8.0</w:t>
            </w:r>
          </w:p>
        </w:tc>
      </w:tr>
      <w:tr>
        <w:tc>
          <w:tcPr>
            <w:tcW w:type="dxa" w:w="437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Louisiana Crunchwell share</w:t>
            </w:r>
          </w:p>
        </w:tc>
        <w:tc>
          <w:tcPr>
            <w:tcW w:type="dxa" w:w="2566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3.0%</w:t>
            </w:r>
          </w:p>
        </w:tc>
        <w:tc>
          <w:tcPr>
            <w:tcW w:type="dxa" w:w="2566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≥4.5%</w:t>
            </w:r>
          </w:p>
        </w:tc>
      </w:tr>
      <w:tr>
        <w:tc>
          <w:tcPr>
            <w:tcW w:type="dxa" w:w="437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Trade incrementality index</w:t>
            </w:r>
          </w:p>
        </w:tc>
        <w:tc>
          <w:tcPr>
            <w:tcW w:type="dxa" w:w="256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0.57</w:t>
            </w:r>
          </w:p>
        </w:tc>
        <w:tc>
          <w:tcPr>
            <w:tcW w:type="dxa" w:w="256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≥0.60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6"/>
        </w:rPr>
        <w:t>Source: seed_retailers, seed_category_market_size, seed_walmart_endcap_audit_la, seed_trade_promo_events_q1_2026. Targets are the FY27 proposal.</w:t>
      </w: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Recommendations &amp; next steps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475"/>
        <w:gridCol w:w="5227"/>
        <w:gridCol w:w="2281"/>
        <w:gridCol w:w="1521"/>
      </w:tblGrid>
      <w:tr>
        <w:tc>
          <w:tcPr>
            <w:tcW w:type="dxa" w:w="475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5227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228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52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When</w:t>
            </w:r>
          </w:p>
        </w:tc>
      </w:tr>
      <w:tr>
        <w:tc>
          <w:tcPr>
            <w:tcW w:type="dxa" w:w="475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1</w:t>
            </w:r>
          </w:p>
        </w:tc>
        <w:tc>
          <w:tcPr>
            <w:tcW w:type="dxa" w:w="5227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Lead with the protein share gap, not the Louisiana facings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Marcus Boudreaux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In the meeting</w:t>
            </w:r>
          </w:p>
        </w:tc>
      </w:tr>
      <w:tr>
        <w:tc>
          <w:tcPr>
            <w:tcW w:type="dxa" w:w="475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2</w:t>
            </w:r>
          </w:p>
        </w:tc>
        <w:tc>
          <w:tcPr>
            <w:tcW w:type="dxa" w:w="5227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Hold the depth caps regardless of the facing outcome</w:t>
            </w:r>
          </w:p>
        </w:tc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Marcus Boudreaux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In the meeting</w:t>
            </w:r>
          </w:p>
        </w:tc>
      </w:tr>
      <w:tr>
        <w:tc>
          <w:tcPr>
            <w:tcW w:type="dxa" w:w="475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3</w:t>
            </w:r>
          </w:p>
        </w:tc>
        <w:tc>
          <w:tcPr>
            <w:tcW w:type="dxa" w:w="5227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Secure a written commitment for the second endcap window if the first is refused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Marcus Boudreaux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In the meeting</w:t>
            </w:r>
          </w:p>
        </w:tc>
      </w:tr>
      <w:tr>
        <w:tc>
          <w:tcPr>
            <w:tcW w:type="dxa" w:w="475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4</w:t>
            </w:r>
          </w:p>
        </w:tc>
        <w:tc>
          <w:tcPr>
            <w:tcW w:type="dxa" w:w="5227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Report outcomes against the four asks within 48 hours</w:t>
            </w:r>
          </w:p>
        </w:tc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Marcus Boudreaux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Post-meeting</w:t>
            </w:r>
          </w:p>
        </w:tc>
      </w:tr>
    </w:tbl>
    <w:p>
      <w:pPr>
        <w:keepNext w:val="0"/>
        <w:spacing w:after="60" w:before="0" w:line="274" w:lineRule="auto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</w:pPr>
    <w:r>
      <w:rPr>
        <w:rFonts w:ascii="Calibri" w:hAnsi="Calibri"/>
        <w:color w:val="5B6472"/>
        <w:sz w:val="15"/>
      </w:rPr>
      <w:t xml:space="preserve">Internal · Confidential — Acme Corp synthetic demo data. Fictional; not for real decision-making.     </w:t>
    </w:r>
    <w:r>
      <w:rPr>
        <w:rFonts w:ascii="Calibri" w:hAnsi="Calibri"/>
        <w:b/>
        <w:color w:val="5B6472"/>
        <w:sz w:val="15"/>
      </w:rPr>
      <w:t>Walmart LR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Calibri" w:hAnsi="Calibri"/>
      <w:color w:val="2B2F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Walmart August 2026 Line Review — Negotiation Brief</dc:title>
  <dc:subject/>
  <dc:creator>Acme Corp (synthetic)</dc:creator>
  <cp:keywords/>
  <dc:description>Internal negotiation brief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