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274" w:lineRule="auto"/>
      </w:pPr>
      <w:r>
        <w:rPr>
          <w:rFonts w:ascii="Calibri" w:hAnsi="Calibri"/>
          <w:b/>
          <w:i w:val="0"/>
          <w:color w:val="2E7D75"/>
          <w:sz w:val="19"/>
        </w:rPr>
        <w:t>CHANNEL STRATEGY MEMORANDUM</w:t>
      </w:r>
    </w:p>
    <w:p>
      <w:pPr>
        <w:keepNext w:val="0"/>
        <w:spacing w:after="120" w:before="0" w:line="259" w:lineRule="auto"/>
      </w:pPr>
      <w:r>
        <w:rPr>
          <w:rFonts w:ascii="Calibri" w:hAnsi="Calibri"/>
          <w:b/>
          <w:i w:val="0"/>
          <w:color w:val="1F2A44"/>
          <w:sz w:val="46"/>
        </w:rPr>
        <w:t>Club Channel FY2027 Strategy — Costco and Sam's</w:t>
      </w:r>
    </w:p>
    <w:p>
      <w:pPr>
        <w:keepNext w:val="0"/>
        <w:spacing w:after="160" w:before="0" w:line="288" w:lineRule="auto"/>
      </w:pPr>
      <w:r>
        <w:rPr>
          <w:rFonts w:ascii="Calibri" w:hAnsi="Calibri"/>
          <w:b w:val="0"/>
          <w:i w:val="0"/>
          <w:color w:val="5B6472"/>
          <w:sz w:val="26"/>
        </w:rPr>
        <w:t>Two accounts, one pack architecture question, and why the club channel is where GLP-1 will show up first</w:t>
      </w:r>
    </w:p>
    <w:p>
      <w:pPr>
        <w:spacing w:after="120"/>
        <w:pBdr>
          <w:bottom w:val="single" w:sz="6" w:space="1" w:color="C9D2DB"/>
        </w:pBdr>
      </w:pPr>
    </w:p>
    <w:p>
      <w:pPr>
        <w:keepNext w:val="0"/>
        <w:spacing w:after="40" w:before="0" w:line="274" w:lineRule="auto"/>
      </w:pPr>
      <w:r>
        <w:rPr>
          <w:rFonts w:ascii="Calibri" w:hAnsi="Calibri"/>
          <w:b/>
          <w:i w:val="0"/>
          <w:color w:val="5B6472"/>
          <w:sz w:val="20"/>
        </w:rPr>
        <w:t>Club Sales with RGM</w:t>
      </w:r>
    </w:p>
    <w:p>
      <w:pPr>
        <w:keepNext w:val="0"/>
        <w:spacing w:after="20" w:before="0" w:line="274" w:lineRule="auto"/>
      </w:pPr>
      <w:r>
        <w:rPr>
          <w:rFonts w:ascii="Calibri" w:hAnsi="Calibri"/>
          <w:b w:val="0"/>
          <w:i w:val="0"/>
          <w:color w:val="5B6472"/>
          <w:sz w:val="19"/>
        </w:rPr>
        <w:t>Accounts: Costco, Sam's Club</w:t>
      </w:r>
    </w:p>
    <w:p>
      <w:pPr>
        <w:keepNext w:val="0"/>
        <w:spacing w:after="20" w:before="0" w:line="274" w:lineRule="auto"/>
      </w:pPr>
      <w:r>
        <w:rPr>
          <w:rFonts w:ascii="Calibri" w:hAnsi="Calibri"/>
          <w:b w:val="0"/>
          <w:i w:val="0"/>
          <w:color w:val="5B6472"/>
          <w:sz w:val="19"/>
        </w:rPr>
        <w:t>Period: FY2027 with FY29 implications</w:t>
      </w:r>
    </w:p>
    <w:p>
      <w:pPr>
        <w:keepNext w:val="0"/>
        <w:spacing w:after="20" w:before="0" w:line="274" w:lineRule="auto"/>
      </w:pPr>
      <w:r>
        <w:rPr>
          <w:rFonts w:ascii="Calibri" w:hAnsi="Calibri"/>
          <w:b w:val="0"/>
          <w:i w:val="0"/>
          <w:color w:val="5B6472"/>
          <w:sz w:val="19"/>
        </w:rPr>
        <w:t>Companion documents: Reports 64 and 70</w:t>
      </w:r>
    </w:p>
    <w:p>
      <w:pPr>
        <w:keepNext w:val="0"/>
        <w:spacing w:after="20" w:before="0" w:line="274" w:lineRule="auto"/>
      </w:pPr>
      <w:r>
        <w:rPr>
          <w:rFonts w:ascii="Calibri" w:hAnsi="Calibri"/>
          <w:b w:val="0"/>
          <w:i w:val="0"/>
          <w:color w:val="5B6472"/>
          <w:sz w:val="19"/>
        </w:rPr>
        <w:t>Version: v1 · July 2026</w:t>
      </w:r>
    </w:p>
    <w:p>
      <w:pPr>
        <w:keepNext w:val="0"/>
        <w:spacing w:after="200" w:before="0" w:line="274" w:lineRule="auto"/>
      </w:pPr>
      <w:r>
        <w:rPr>
          <w:rFonts w:ascii="Calibri" w:hAnsi="Calibri"/>
          <w:b w:val="0"/>
          <w:i w:val="0"/>
          <w:color w:val="5B6472"/>
          <w:sz w:val="19"/>
        </w:rPr>
        <w:t>Internal channel strategy · Internal · Confidential — synthetic demo data</w:t>
      </w:r>
    </w:p>
    <w:p>
      <w:pPr>
        <w:keepNext/>
        <w:spacing w:after="60" w:before="180" w:line="274" w:lineRule="auto"/>
      </w:pPr>
      <w:r>
        <w:rPr>
          <w:rFonts w:ascii="Calibri" w:hAnsi="Calibri"/>
          <w:b/>
          <w:i w:val="0"/>
          <w:color w:val="1F2A44"/>
          <w:sz w:val="23"/>
        </w:rPr>
        <w:t>At a glance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96" w:type="dxa"/>
          <w:bottom w:w="40" w:type="dxa"/>
          <w:right w:w="96" w:type="dxa"/>
        </w:tblCellMar>
        <w:tblLook w:firstColumn="1" w:firstRow="1" w:lastColumn="0" w:lastRow="0" w:noHBand="0" w:noVBand="1" w:val="04A0"/>
      </w:tblPr>
      <w:tblGrid>
        <w:gridCol w:w="2376"/>
        <w:gridCol w:w="2376"/>
        <w:gridCol w:w="2376"/>
        <w:gridCol w:w="2376"/>
      </w:tblGrid>
      <w:tr>
        <w:tc>
          <w:tcPr>
            <w:tcW w:type="dxa" w:w="2376"/>
            <w:shd w:val="clear" w:color="auto" w:fill="F5F7F9"/>
          </w:tcPr>
          <w:p>
            <w:pPr>
              <w:spacing w:after="40"/>
            </w:pPr>
            <w:r>
              <w:rPr>
                <w:rFonts w:ascii="Calibri" w:hAnsi="Calibri"/>
                <w:b/>
                <w:i w:val="0"/>
                <w:color w:val="1F2A44"/>
                <w:sz w:val="34"/>
              </w:rPr>
              <w:t>$80M</w:t>
            </w:r>
          </w:p>
          <w:p>
            <w:pPr>
              <w:spacing w:after="40"/>
            </w:pPr>
            <w:r>
              <w:rPr>
                <w:rFonts w:ascii="Calibri" w:hAnsi="Calibri"/>
                <w:b/>
                <w:i w:val="0"/>
                <w:color w:val="5B6472"/>
                <w:sz w:val="16"/>
              </w:rPr>
              <w:t>ACME CLUB REVENUE FY25</w:t>
            </w:r>
          </w:p>
        </w:tc>
        <w:tc>
          <w:tcPr>
            <w:tcW w:type="dxa" w:w="2376"/>
            <w:shd w:val="clear" w:color="auto" w:fill="F5F7F9"/>
          </w:tcPr>
          <w:p>
            <w:pPr>
              <w:spacing w:after="40"/>
            </w:pPr>
            <w:r>
              <w:rPr>
                <w:rFonts w:ascii="Calibri" w:hAnsi="Calibri"/>
                <w:b/>
                <w:i w:val="0"/>
                <w:color w:val="1F2A44"/>
                <w:sz w:val="34"/>
              </w:rPr>
              <w:t>2</w:t>
            </w:r>
          </w:p>
          <w:p>
            <w:pPr>
              <w:spacing w:after="40"/>
            </w:pPr>
            <w:r>
              <w:rPr>
                <w:rFonts w:ascii="Calibri" w:hAnsi="Calibri"/>
                <w:b/>
                <w:i w:val="0"/>
                <w:color w:val="5B6472"/>
                <w:sz w:val="16"/>
              </w:rPr>
              <w:t>CLUB ACCOUNTS</w:t>
            </w:r>
          </w:p>
        </w:tc>
        <w:tc>
          <w:tcPr>
            <w:tcW w:type="dxa" w:w="2376"/>
            <w:shd w:val="clear" w:color="auto" w:fill="F5F7F9"/>
          </w:tcPr>
          <w:p>
            <w:pPr>
              <w:spacing w:after="40"/>
            </w:pPr>
            <w:r>
              <w:rPr>
                <w:rFonts w:ascii="Calibri" w:hAnsi="Calibri"/>
                <w:b/>
                <w:i w:val="0"/>
                <w:color w:val="1F2A44"/>
                <w:sz w:val="34"/>
              </w:rPr>
              <w:t>18oz+</w:t>
            </w:r>
          </w:p>
          <w:p>
            <w:pPr>
              <w:spacing w:after="40"/>
            </w:pPr>
            <w:r>
              <w:rPr>
                <w:rFonts w:ascii="Calibri" w:hAnsi="Calibri"/>
                <w:b/>
                <w:i w:val="0"/>
                <w:color w:val="5B6472"/>
                <w:sz w:val="16"/>
              </w:rPr>
              <w:t>THE PACKS AT RISK</w:t>
            </w:r>
          </w:p>
        </w:tc>
        <w:tc>
          <w:tcPr>
            <w:tcW w:type="dxa" w:w="2376"/>
            <w:shd w:val="clear" w:color="auto" w:fill="F5F7F9"/>
          </w:tcPr>
          <w:p>
            <w:pPr>
              <w:spacing w:after="40"/>
            </w:pPr>
            <w:r>
              <w:rPr>
                <w:rFonts w:ascii="Calibri" w:hAnsi="Calibri"/>
                <w:b/>
                <w:i w:val="0"/>
                <w:color w:val="1F2A44"/>
                <w:sz w:val="34"/>
              </w:rPr>
              <w:t>0.81</w:t>
            </w:r>
          </w:p>
          <w:p>
            <w:pPr>
              <w:spacing w:after="40"/>
            </w:pPr>
            <w:r>
              <w:rPr>
                <w:rFonts w:ascii="Calibri" w:hAnsi="Calibri"/>
                <w:b/>
                <w:i w:val="0"/>
                <w:color w:val="5B6472"/>
                <w:sz w:val="16"/>
              </w:rPr>
              <w:t>GLP-1 TREND STRENGTH</w:t>
            </w:r>
          </w:p>
        </w:tc>
      </w:tr>
    </w:tbl>
    <w:p>
      <w:pPr>
        <w:keepNext w:val="0"/>
        <w:spacing w:after="80" w:before="0" w:line="274" w:lineRule="auto"/>
      </w:pPr>
    </w:p>
    <w:p>
      <w:pPr>
        <w:keepNext/>
        <w:spacing w:after="40" w:before="240" w:line="274" w:lineRule="auto"/>
      </w:pPr>
      <w:r>
        <w:rPr>
          <w:rFonts w:ascii="Calibri" w:hAnsi="Calibri"/>
          <w:b/>
          <w:i w:val="0"/>
          <w:color w:val="2E7D75"/>
          <w:sz w:val="18"/>
        </w:rPr>
        <w:t>THE ARGUMENT</w:t>
      </w:r>
    </w:p>
    <w:p>
      <w:pPr>
        <w:keepNext/>
        <w:spacing w:after="100" w:before="0" w:line="274" w:lineRule="auto"/>
      </w:pPr>
      <w:r>
        <w:rPr>
          <w:rFonts w:ascii="Calibri" w:hAnsi="Calibri"/>
          <w:b/>
          <w:i w:val="0"/>
          <w:color w:val="1F2A44"/>
          <w:sz w:val="31"/>
        </w:rPr>
        <w:t>1 · Club is the leading indicator, not the laggard</w:t>
      </w:r>
    </w:p>
    <w:p>
      <w:pPr>
        <w:keepNext w:val="0"/>
        <w:spacing w:after="160" w:before="0" w:line="293" w:lineRule="auto"/>
      </w:pPr>
      <w:r>
        <w:rPr>
          <w:rFonts w:ascii="Calibri" w:hAnsi="Calibri"/>
          <w:b w:val="0"/>
          <w:i/>
          <w:color w:val="5B6472"/>
          <w:sz w:val="24"/>
        </w:rPr>
        <w:t>If smaller appetites are going to change cereal, they will change club packs first.</w:t>
      </w:r>
    </w:p>
    <w:p>
      <w:pPr>
        <w:keepNext w:val="0"/>
        <w:spacing w:after="120" w:before="0" w:line="274" w:lineRule="auto"/>
      </w:pPr>
      <w:r>
        <w:rPr>
          <w:rFonts w:ascii="Calibri" w:hAnsi="Calibri"/>
          <w:b w:val="0"/>
          <w:i w:val="0"/>
          <w:color w:val="2B2F38"/>
          <w:sz w:val="21"/>
        </w:rPr>
        <w:t>Acme's club business is approximately $80M across Costco, Sams Club. The channel's economics depend on large pack sizes and high units per trip, which is exactly the demand pattern most exposed to the GLP-1 appetite shift — a trend running at 0.81 strength with a downward volume direction (Report 70). The FY2027 strategy therefore has two jobs: grow the channel in the near term and start restructuring the pack architecture before the exposure becomes a decline.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1901"/>
        <w:gridCol w:w="1331"/>
        <w:gridCol w:w="1521"/>
        <w:gridCol w:w="1711"/>
        <w:gridCol w:w="1901"/>
        <w:gridCol w:w="1140"/>
      </w:tblGrid>
      <w:tr>
        <w:tc>
          <w:tcPr>
            <w:tcW w:type="dxa" w:w="1901"/>
            <w:shd w:val="clear" w:color="auto" w:fill="1F2A44"/>
          </w:tcPr>
          <w:p>
            <w:pPr>
              <w:spacing w:after="20"/>
            </w:pPr>
            <w:r>
              <w:rPr>
                <w:rFonts w:ascii="Calibri" w:hAnsi="Calibri"/>
                <w:b/>
                <w:i w:val="0"/>
                <w:color w:val="FFFFFF"/>
                <w:sz w:val="18"/>
              </w:rPr>
              <w:t>Account</w:t>
            </w:r>
          </w:p>
        </w:tc>
        <w:tc>
          <w:tcPr>
            <w:tcW w:type="dxa" w:w="1331"/>
            <w:shd w:val="clear" w:color="auto" w:fill="1F2A44"/>
          </w:tcPr>
          <w:p>
            <w:pPr>
              <w:spacing w:after="20"/>
            </w:pPr>
            <w:r>
              <w:rPr>
                <w:rFonts w:ascii="Calibri" w:hAnsi="Calibri"/>
                <w:b/>
                <w:i w:val="0"/>
                <w:color w:val="FFFFFF"/>
                <w:sz w:val="18"/>
              </w:rPr>
              <w:t>Channel</w:t>
            </w:r>
          </w:p>
        </w:tc>
        <w:tc>
          <w:tcPr>
            <w:tcW w:type="dxa" w:w="1521"/>
            <w:shd w:val="clear" w:color="auto" w:fill="1F2A44"/>
          </w:tcPr>
          <w:p>
            <w:pPr>
              <w:spacing w:after="20"/>
              <w:jc w:val="right"/>
            </w:pPr>
            <w:r>
              <w:rPr>
                <w:rFonts w:ascii="Calibri" w:hAnsi="Calibri"/>
                <w:b/>
                <w:i w:val="0"/>
                <w:color w:val="FFFFFF"/>
                <w:sz w:val="18"/>
              </w:rPr>
              <w:t>ACV weight</w:t>
            </w:r>
          </w:p>
        </w:tc>
        <w:tc>
          <w:tcPr>
            <w:tcW w:type="dxa" w:w="1711"/>
            <w:shd w:val="clear" w:color="auto" w:fill="1F2A44"/>
          </w:tcPr>
          <w:p>
            <w:pPr>
              <w:spacing w:after="20"/>
              <w:jc w:val="right"/>
            </w:pPr>
            <w:r>
              <w:rPr>
                <w:rFonts w:ascii="Calibri" w:hAnsi="Calibri"/>
                <w:b/>
                <w:i w:val="0"/>
                <w:color w:val="FFFFFF"/>
                <w:sz w:val="18"/>
              </w:rPr>
              <w:t>FY25 revenue</w:t>
            </w:r>
          </w:p>
        </w:tc>
        <w:tc>
          <w:tcPr>
            <w:tcW w:type="dxa" w:w="1901"/>
            <w:shd w:val="clear" w:color="auto" w:fill="1F2A44"/>
          </w:tcPr>
          <w:p>
            <w:pPr>
              <w:spacing w:after="20"/>
              <w:jc w:val="right"/>
            </w:pPr>
            <w:r>
              <w:rPr>
                <w:rFonts w:ascii="Calibri" w:hAnsi="Calibri"/>
                <w:b/>
                <w:i w:val="0"/>
                <w:color w:val="FFFFFF"/>
                <w:sz w:val="18"/>
              </w:rPr>
              <w:t>NAM</w:t>
            </w:r>
          </w:p>
        </w:tc>
        <w:tc>
          <w:tcPr>
            <w:tcW w:type="dxa" w:w="1140"/>
            <w:shd w:val="clear" w:color="auto" w:fill="1F2A44"/>
          </w:tcPr>
          <w:p>
            <w:pPr>
              <w:spacing w:after="20"/>
              <w:jc w:val="right"/>
            </w:pPr>
            <w:r>
              <w:rPr>
                <w:rFonts w:ascii="Calibri" w:hAnsi="Calibri"/>
                <w:b/>
                <w:i w:val="0"/>
                <w:color w:val="FFFFFF"/>
                <w:sz w:val="18"/>
              </w:rPr>
              <w:t>Tier</w:t>
            </w:r>
          </w:p>
        </w:tc>
      </w:tr>
      <w:tr>
        <w:tc>
          <w:tcPr>
            <w:tcW w:type="dxa" w:w="1901"/>
            <w:shd w:val="clear" w:color="auto" w:fill="FFFFFF"/>
          </w:tcPr>
          <w:p>
            <w:pPr>
              <w:spacing w:after="20"/>
            </w:pPr>
            <w:r>
              <w:rPr>
                <w:rFonts w:ascii="Calibri" w:hAnsi="Calibri"/>
                <w:b w:val="0"/>
                <w:i w:val="0"/>
                <w:color w:val="2B2F38"/>
                <w:sz w:val="19"/>
              </w:rPr>
              <w:t>Costco</w:t>
            </w:r>
          </w:p>
        </w:tc>
        <w:tc>
          <w:tcPr>
            <w:tcW w:type="dxa" w:w="1331"/>
            <w:shd w:val="clear" w:color="auto" w:fill="FFFFFF"/>
          </w:tcPr>
          <w:p>
            <w:pPr>
              <w:spacing w:after="20"/>
            </w:pPr>
            <w:r>
              <w:rPr>
                <w:rFonts w:ascii="Calibri" w:hAnsi="Calibri"/>
                <w:b w:val="0"/>
                <w:i w:val="0"/>
                <w:color w:val="2B2F38"/>
                <w:sz w:val="19"/>
              </w:rPr>
              <w:t>Club</w:t>
            </w:r>
          </w:p>
        </w:tc>
        <w:tc>
          <w:tcPr>
            <w:tcW w:type="dxa" w:w="1521"/>
            <w:shd w:val="clear" w:color="auto" w:fill="FFFFFF"/>
          </w:tcPr>
          <w:p>
            <w:pPr>
              <w:spacing w:after="20"/>
              <w:jc w:val="right"/>
            </w:pPr>
            <w:r>
              <w:rPr>
                <w:rFonts w:ascii="Calibri" w:hAnsi="Calibri"/>
                <w:b w:val="0"/>
                <w:i w:val="0"/>
                <w:color w:val="2B2F38"/>
                <w:sz w:val="19"/>
              </w:rPr>
              <w:t>4.1%</w:t>
            </w:r>
          </w:p>
        </w:tc>
        <w:tc>
          <w:tcPr>
            <w:tcW w:type="dxa" w:w="1711"/>
            <w:shd w:val="clear" w:color="auto" w:fill="FFFFFF"/>
          </w:tcPr>
          <w:p>
            <w:pPr>
              <w:spacing w:after="20"/>
              <w:jc w:val="right"/>
            </w:pPr>
            <w:r>
              <w:rPr>
                <w:rFonts w:ascii="Calibri" w:hAnsi="Calibri"/>
                <w:b w:val="0"/>
                <w:i w:val="0"/>
                <w:color w:val="2B2F38"/>
                <w:sz w:val="19"/>
              </w:rPr>
              <w:t>$52.0M</w:t>
            </w:r>
          </w:p>
        </w:tc>
        <w:tc>
          <w:tcPr>
            <w:tcW w:type="dxa" w:w="1901"/>
            <w:shd w:val="clear" w:color="auto" w:fill="FFFFFF"/>
          </w:tcPr>
          <w:p>
            <w:pPr>
              <w:spacing w:after="20"/>
              <w:jc w:val="right"/>
            </w:pPr>
            <w:r>
              <w:rPr>
                <w:rFonts w:ascii="Calibri" w:hAnsi="Calibri"/>
                <w:b w:val="0"/>
                <w:i w:val="0"/>
                <w:color w:val="2B2F38"/>
                <w:sz w:val="19"/>
              </w:rPr>
              <w:t>Frank Calabrese</w:t>
            </w:r>
          </w:p>
        </w:tc>
        <w:tc>
          <w:tcPr>
            <w:tcW w:type="dxa" w:w="1140"/>
            <w:shd w:val="clear" w:color="auto" w:fill="FFFFFF"/>
          </w:tcPr>
          <w:p>
            <w:pPr>
              <w:spacing w:after="20"/>
              <w:jc w:val="right"/>
            </w:pPr>
            <w:r>
              <w:rPr>
                <w:rFonts w:ascii="Calibri" w:hAnsi="Calibri"/>
                <w:b w:val="0"/>
                <w:i w:val="0"/>
                <w:color w:val="2B2F38"/>
                <w:sz w:val="19"/>
              </w:rPr>
              <w:t>Tier 1</w:t>
            </w:r>
          </w:p>
        </w:tc>
      </w:tr>
      <w:tr>
        <w:tc>
          <w:tcPr>
            <w:tcW w:type="dxa" w:w="1901"/>
            <w:shd w:val="clear" w:color="auto" w:fill="F5F7F9"/>
          </w:tcPr>
          <w:p>
            <w:pPr>
              <w:spacing w:after="20"/>
            </w:pPr>
            <w:r>
              <w:rPr>
                <w:rFonts w:ascii="Calibri" w:hAnsi="Calibri"/>
                <w:b w:val="0"/>
                <w:i w:val="0"/>
                <w:color w:val="2B2F38"/>
                <w:sz w:val="19"/>
              </w:rPr>
              <w:t>Sams Club</w:t>
            </w:r>
          </w:p>
        </w:tc>
        <w:tc>
          <w:tcPr>
            <w:tcW w:type="dxa" w:w="1331"/>
            <w:shd w:val="clear" w:color="auto" w:fill="F5F7F9"/>
          </w:tcPr>
          <w:p>
            <w:pPr>
              <w:spacing w:after="20"/>
            </w:pPr>
            <w:r>
              <w:rPr>
                <w:rFonts w:ascii="Calibri" w:hAnsi="Calibri"/>
                <w:b w:val="0"/>
                <w:i w:val="0"/>
                <w:color w:val="2B2F38"/>
                <w:sz w:val="19"/>
              </w:rPr>
              <w:t>Club</w:t>
            </w:r>
          </w:p>
        </w:tc>
        <w:tc>
          <w:tcPr>
            <w:tcW w:type="dxa" w:w="1521"/>
            <w:shd w:val="clear" w:color="auto" w:fill="F5F7F9"/>
          </w:tcPr>
          <w:p>
            <w:pPr>
              <w:spacing w:after="20"/>
              <w:jc w:val="right"/>
            </w:pPr>
            <w:r>
              <w:rPr>
                <w:rFonts w:ascii="Calibri" w:hAnsi="Calibri"/>
                <w:b w:val="0"/>
                <w:i w:val="0"/>
                <w:color w:val="2B2F38"/>
                <w:sz w:val="19"/>
              </w:rPr>
              <w:t>2.4%</w:t>
            </w:r>
          </w:p>
        </w:tc>
        <w:tc>
          <w:tcPr>
            <w:tcW w:type="dxa" w:w="1711"/>
            <w:shd w:val="clear" w:color="auto" w:fill="F5F7F9"/>
          </w:tcPr>
          <w:p>
            <w:pPr>
              <w:spacing w:after="20"/>
              <w:jc w:val="right"/>
            </w:pPr>
            <w:r>
              <w:rPr>
                <w:rFonts w:ascii="Calibri" w:hAnsi="Calibri"/>
                <w:b w:val="0"/>
                <w:i w:val="0"/>
                <w:color w:val="2B2F38"/>
                <w:sz w:val="19"/>
              </w:rPr>
              <w:t>$28.0M</w:t>
            </w:r>
          </w:p>
        </w:tc>
        <w:tc>
          <w:tcPr>
            <w:tcW w:type="dxa" w:w="1901"/>
            <w:shd w:val="clear" w:color="auto" w:fill="F5F7F9"/>
          </w:tcPr>
          <w:p>
            <w:pPr>
              <w:spacing w:after="20"/>
              <w:jc w:val="right"/>
            </w:pPr>
            <w:r>
              <w:rPr>
                <w:rFonts w:ascii="Calibri" w:hAnsi="Calibri"/>
                <w:b w:val="0"/>
                <w:i w:val="0"/>
                <w:color w:val="2B2F38"/>
                <w:sz w:val="19"/>
              </w:rPr>
              <w:t>Frank Calabrese</w:t>
            </w:r>
          </w:p>
        </w:tc>
        <w:tc>
          <w:tcPr>
            <w:tcW w:type="dxa" w:w="1140"/>
            <w:shd w:val="clear" w:color="auto" w:fill="F5F7F9"/>
          </w:tcPr>
          <w:p>
            <w:pPr>
              <w:spacing w:after="20"/>
              <w:jc w:val="right"/>
            </w:pPr>
            <w:r>
              <w:rPr>
                <w:rFonts w:ascii="Calibri" w:hAnsi="Calibri"/>
                <w:b w:val="0"/>
                <w:i w:val="0"/>
                <w:color w:val="2B2F38"/>
                <w:sz w:val="19"/>
              </w:rPr>
              <w:t>Tier 2</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seed_retailers.</w:t>
      </w:r>
    </w:p>
    <w:p>
      <w:pPr>
        <w:keepNext/>
        <w:spacing w:after="40" w:before="240" w:line="274" w:lineRule="auto"/>
      </w:pPr>
      <w:r>
        <w:rPr>
          <w:rFonts w:ascii="Calibri" w:hAnsi="Calibri"/>
          <w:b/>
          <w:i w:val="0"/>
          <w:color w:val="2E7D75"/>
          <w:sz w:val="18"/>
        </w:rPr>
        <w:t>PERFORMANCE</w:t>
      </w:r>
    </w:p>
    <w:p>
      <w:pPr>
        <w:keepNext/>
        <w:spacing w:after="100" w:before="0" w:line="274" w:lineRule="auto"/>
      </w:pPr>
      <w:r>
        <w:rPr>
          <w:rFonts w:ascii="Calibri" w:hAnsi="Calibri"/>
          <w:b/>
          <w:i w:val="0"/>
          <w:color w:val="1F2A44"/>
          <w:sz w:val="31"/>
        </w:rPr>
        <w:t>2 · Where club sits against the rest of the book</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231"/>
        <w:gridCol w:w="2091"/>
        <w:gridCol w:w="2091"/>
        <w:gridCol w:w="2091"/>
      </w:tblGrid>
      <w:tr>
        <w:tc>
          <w:tcPr>
            <w:tcW w:type="dxa" w:w="3231"/>
            <w:shd w:val="clear" w:color="auto" w:fill="1F2A44"/>
          </w:tcPr>
          <w:p>
            <w:pPr>
              <w:spacing w:after="20"/>
            </w:pPr>
            <w:r>
              <w:rPr>
                <w:rFonts w:ascii="Calibri" w:hAnsi="Calibri"/>
                <w:b/>
                <w:i w:val="0"/>
                <w:color w:val="FFFFFF"/>
                <w:sz w:val="18"/>
              </w:rPr>
              <w:t>Retailer</w:t>
            </w:r>
          </w:p>
        </w:tc>
        <w:tc>
          <w:tcPr>
            <w:tcW w:type="dxa" w:w="2091"/>
            <w:shd w:val="clear" w:color="auto" w:fill="1F2A44"/>
          </w:tcPr>
          <w:p>
            <w:pPr>
              <w:spacing w:after="20"/>
              <w:jc w:val="right"/>
            </w:pPr>
            <w:r>
              <w:rPr>
                <w:rFonts w:ascii="Calibri" w:hAnsi="Calibri"/>
                <w:b/>
                <w:i w:val="0"/>
                <w:color w:val="FFFFFF"/>
                <w:sz w:val="18"/>
              </w:rPr>
              <w:t>Q1 plan</w:t>
            </w:r>
          </w:p>
        </w:tc>
        <w:tc>
          <w:tcPr>
            <w:tcW w:type="dxa" w:w="2091"/>
            <w:shd w:val="clear" w:color="auto" w:fill="1F2A44"/>
          </w:tcPr>
          <w:p>
            <w:pPr>
              <w:spacing w:after="20"/>
              <w:jc w:val="right"/>
            </w:pPr>
            <w:r>
              <w:rPr>
                <w:rFonts w:ascii="Calibri" w:hAnsi="Calibri"/>
                <w:b/>
                <w:i w:val="0"/>
                <w:color w:val="FFFFFF"/>
                <w:sz w:val="18"/>
              </w:rPr>
              <w:t>Q1 actual</w:t>
            </w:r>
          </w:p>
        </w:tc>
        <w:tc>
          <w:tcPr>
            <w:tcW w:type="dxa" w:w="2091"/>
            <w:shd w:val="clear" w:color="auto" w:fill="1F2A44"/>
          </w:tcPr>
          <w:p>
            <w:pPr>
              <w:spacing w:after="20"/>
              <w:jc w:val="right"/>
            </w:pPr>
            <w:r>
              <w:rPr>
                <w:rFonts w:ascii="Calibri" w:hAnsi="Calibri"/>
                <w:b/>
                <w:i w:val="0"/>
                <w:color w:val="FFFFFF"/>
                <w:sz w:val="18"/>
              </w:rPr>
              <w:t>Variance</w:t>
            </w:r>
          </w:p>
        </w:tc>
      </w:tr>
      <w:tr>
        <w:tc>
          <w:tcPr>
            <w:tcW w:type="dxa" w:w="3231"/>
            <w:shd w:val="clear" w:color="auto" w:fill="FFFFFF"/>
          </w:tcPr>
          <w:p>
            <w:pPr>
              <w:spacing w:after="20"/>
            </w:pPr>
            <w:r>
              <w:rPr>
                <w:rFonts w:ascii="Calibri" w:hAnsi="Calibri"/>
                <w:b w:val="0"/>
                <w:i w:val="0"/>
                <w:color w:val="2B2F38"/>
                <w:sz w:val="19"/>
              </w:rPr>
              <w:t>Walmart</w:t>
            </w:r>
          </w:p>
        </w:tc>
        <w:tc>
          <w:tcPr>
            <w:tcW w:type="dxa" w:w="2091"/>
            <w:shd w:val="clear" w:color="auto" w:fill="FFFFFF"/>
          </w:tcPr>
          <w:p>
            <w:pPr>
              <w:spacing w:after="20"/>
              <w:jc w:val="right"/>
            </w:pPr>
            <w:r>
              <w:rPr>
                <w:rFonts w:ascii="Calibri" w:hAnsi="Calibri"/>
                <w:b w:val="0"/>
                <w:i w:val="0"/>
                <w:color w:val="2B2F38"/>
                <w:sz w:val="19"/>
              </w:rPr>
              <w:t>$48.4M</w:t>
            </w:r>
          </w:p>
        </w:tc>
        <w:tc>
          <w:tcPr>
            <w:tcW w:type="dxa" w:w="2091"/>
            <w:shd w:val="clear" w:color="auto" w:fill="FFFFFF"/>
          </w:tcPr>
          <w:p>
            <w:pPr>
              <w:spacing w:after="20"/>
              <w:jc w:val="right"/>
            </w:pPr>
            <w:r>
              <w:rPr>
                <w:rFonts w:ascii="Calibri" w:hAnsi="Calibri"/>
                <w:b w:val="0"/>
                <w:i w:val="0"/>
                <w:color w:val="2B2F38"/>
                <w:sz w:val="19"/>
              </w:rPr>
              <w:t>$45.8M</w:t>
            </w:r>
          </w:p>
        </w:tc>
        <w:tc>
          <w:tcPr>
            <w:tcW w:type="dxa" w:w="2091"/>
            <w:shd w:val="clear" w:color="auto" w:fill="FFFFFF"/>
          </w:tcPr>
          <w:p>
            <w:pPr>
              <w:spacing w:after="20"/>
              <w:jc w:val="right"/>
            </w:pPr>
            <w:r>
              <w:rPr>
                <w:rFonts w:ascii="Calibri" w:hAnsi="Calibri"/>
                <w:b w:val="0"/>
                <w:i w:val="0"/>
                <w:color w:val="2B2F38"/>
                <w:sz w:val="19"/>
              </w:rPr>
              <w:t>-5.3%</w:t>
            </w:r>
          </w:p>
        </w:tc>
      </w:tr>
      <w:tr>
        <w:tc>
          <w:tcPr>
            <w:tcW w:type="dxa" w:w="3231"/>
            <w:shd w:val="clear" w:color="auto" w:fill="F5F7F9"/>
          </w:tcPr>
          <w:p>
            <w:pPr>
              <w:spacing w:after="20"/>
            </w:pPr>
            <w:r>
              <w:rPr>
                <w:rFonts w:ascii="Calibri" w:hAnsi="Calibri"/>
                <w:b w:val="0"/>
                <w:i w:val="0"/>
                <w:color w:val="2B2F38"/>
                <w:sz w:val="19"/>
              </w:rPr>
              <w:t>Kroger</w:t>
            </w:r>
          </w:p>
        </w:tc>
        <w:tc>
          <w:tcPr>
            <w:tcW w:type="dxa" w:w="2091"/>
            <w:shd w:val="clear" w:color="auto" w:fill="F5F7F9"/>
          </w:tcPr>
          <w:p>
            <w:pPr>
              <w:spacing w:after="20"/>
              <w:jc w:val="right"/>
            </w:pPr>
            <w:r>
              <w:rPr>
                <w:rFonts w:ascii="Calibri" w:hAnsi="Calibri"/>
                <w:b w:val="0"/>
                <w:i w:val="0"/>
                <w:color w:val="2B2F38"/>
                <w:sz w:val="19"/>
              </w:rPr>
              <w:t>$24.6M</w:t>
            </w:r>
          </w:p>
        </w:tc>
        <w:tc>
          <w:tcPr>
            <w:tcW w:type="dxa" w:w="2091"/>
            <w:shd w:val="clear" w:color="auto" w:fill="F5F7F9"/>
          </w:tcPr>
          <w:p>
            <w:pPr>
              <w:spacing w:after="20"/>
              <w:jc w:val="right"/>
            </w:pPr>
            <w:r>
              <w:rPr>
                <w:rFonts w:ascii="Calibri" w:hAnsi="Calibri"/>
                <w:b w:val="0"/>
                <w:i w:val="0"/>
                <w:color w:val="2B2F38"/>
                <w:sz w:val="19"/>
              </w:rPr>
              <w:t>$23.3M</w:t>
            </w:r>
          </w:p>
        </w:tc>
        <w:tc>
          <w:tcPr>
            <w:tcW w:type="dxa" w:w="2091"/>
            <w:shd w:val="clear" w:color="auto" w:fill="F5F7F9"/>
          </w:tcPr>
          <w:p>
            <w:pPr>
              <w:spacing w:after="20"/>
              <w:jc w:val="right"/>
            </w:pPr>
            <w:r>
              <w:rPr>
                <w:rFonts w:ascii="Calibri" w:hAnsi="Calibri"/>
                <w:b w:val="0"/>
                <w:i w:val="0"/>
                <w:color w:val="2B2F38"/>
                <w:sz w:val="19"/>
              </w:rPr>
              <w:t>-5.4%</w:t>
            </w:r>
          </w:p>
        </w:tc>
      </w:tr>
      <w:tr>
        <w:tc>
          <w:tcPr>
            <w:tcW w:type="dxa" w:w="3231"/>
            <w:shd w:val="clear" w:color="auto" w:fill="FFFFFF"/>
          </w:tcPr>
          <w:p>
            <w:pPr>
              <w:spacing w:after="20"/>
            </w:pPr>
            <w:r>
              <w:rPr>
                <w:rFonts w:ascii="Calibri" w:hAnsi="Calibri"/>
                <w:b w:val="0"/>
                <w:i w:val="0"/>
                <w:color w:val="2B2F38"/>
                <w:sz w:val="19"/>
              </w:rPr>
              <w:t>Target</w:t>
            </w:r>
          </w:p>
        </w:tc>
        <w:tc>
          <w:tcPr>
            <w:tcW w:type="dxa" w:w="2091"/>
            <w:shd w:val="clear" w:color="auto" w:fill="FFFFFF"/>
          </w:tcPr>
          <w:p>
            <w:pPr>
              <w:spacing w:after="20"/>
              <w:jc w:val="right"/>
            </w:pPr>
            <w:r>
              <w:rPr>
                <w:rFonts w:ascii="Calibri" w:hAnsi="Calibri"/>
                <w:b w:val="0"/>
                <w:i w:val="0"/>
                <w:color w:val="2B2F38"/>
                <w:sz w:val="19"/>
              </w:rPr>
              <w:t>$18.0M</w:t>
            </w:r>
          </w:p>
        </w:tc>
        <w:tc>
          <w:tcPr>
            <w:tcW w:type="dxa" w:w="2091"/>
            <w:shd w:val="clear" w:color="auto" w:fill="FFFFFF"/>
          </w:tcPr>
          <w:p>
            <w:pPr>
              <w:spacing w:after="20"/>
              <w:jc w:val="right"/>
            </w:pPr>
            <w:r>
              <w:rPr>
                <w:rFonts w:ascii="Calibri" w:hAnsi="Calibri"/>
                <w:b w:val="0"/>
                <w:i w:val="0"/>
                <w:color w:val="2B2F38"/>
                <w:sz w:val="19"/>
              </w:rPr>
              <w:t>$17.0M</w:t>
            </w:r>
          </w:p>
        </w:tc>
        <w:tc>
          <w:tcPr>
            <w:tcW w:type="dxa" w:w="2091"/>
            <w:shd w:val="clear" w:color="auto" w:fill="FFFFFF"/>
          </w:tcPr>
          <w:p>
            <w:pPr>
              <w:spacing w:after="20"/>
              <w:jc w:val="right"/>
            </w:pPr>
            <w:r>
              <w:rPr>
                <w:rFonts w:ascii="Calibri" w:hAnsi="Calibri"/>
                <w:b w:val="0"/>
                <w:i w:val="0"/>
                <w:color w:val="2B2F38"/>
                <w:sz w:val="19"/>
              </w:rPr>
              <w:t>-5.3%</w:t>
            </w:r>
          </w:p>
        </w:tc>
      </w:tr>
      <w:tr>
        <w:tc>
          <w:tcPr>
            <w:tcW w:type="dxa" w:w="3231"/>
            <w:shd w:val="clear" w:color="auto" w:fill="F5F7F9"/>
          </w:tcPr>
          <w:p>
            <w:pPr>
              <w:spacing w:after="20"/>
            </w:pPr>
            <w:r>
              <w:rPr>
                <w:rFonts w:ascii="Calibri" w:hAnsi="Calibri"/>
                <w:b w:val="0"/>
                <w:i w:val="0"/>
                <w:color w:val="2B2F38"/>
                <w:sz w:val="19"/>
              </w:rPr>
              <w:t>Costco</w:t>
            </w:r>
          </w:p>
        </w:tc>
        <w:tc>
          <w:tcPr>
            <w:tcW w:type="dxa" w:w="2091"/>
            <w:shd w:val="clear" w:color="auto" w:fill="F5F7F9"/>
          </w:tcPr>
          <w:p>
            <w:pPr>
              <w:spacing w:after="20"/>
              <w:jc w:val="right"/>
            </w:pPr>
            <w:r>
              <w:rPr>
                <w:rFonts w:ascii="Calibri" w:hAnsi="Calibri"/>
                <w:b w:val="0"/>
                <w:i w:val="0"/>
                <w:color w:val="2B2F38"/>
                <w:sz w:val="19"/>
              </w:rPr>
              <w:t>$13.7M</w:t>
            </w:r>
          </w:p>
        </w:tc>
        <w:tc>
          <w:tcPr>
            <w:tcW w:type="dxa" w:w="2091"/>
            <w:shd w:val="clear" w:color="auto" w:fill="F5F7F9"/>
          </w:tcPr>
          <w:p>
            <w:pPr>
              <w:spacing w:after="20"/>
              <w:jc w:val="right"/>
            </w:pPr>
            <w:r>
              <w:rPr>
                <w:rFonts w:ascii="Calibri" w:hAnsi="Calibri"/>
                <w:b w:val="0"/>
                <w:i w:val="0"/>
                <w:color w:val="2B2F38"/>
                <w:sz w:val="19"/>
              </w:rPr>
              <w:t>$13.0M</w:t>
            </w:r>
          </w:p>
        </w:tc>
        <w:tc>
          <w:tcPr>
            <w:tcW w:type="dxa" w:w="2091"/>
            <w:shd w:val="clear" w:color="auto" w:fill="F5F7F9"/>
          </w:tcPr>
          <w:p>
            <w:pPr>
              <w:spacing w:after="20"/>
              <w:jc w:val="right"/>
            </w:pPr>
            <w:r>
              <w:rPr>
                <w:rFonts w:ascii="Calibri" w:hAnsi="Calibri"/>
                <w:b w:val="0"/>
                <w:i w:val="0"/>
                <w:color w:val="2B2F38"/>
                <w:sz w:val="19"/>
              </w:rPr>
              <w:t>-5.4%</w:t>
            </w:r>
          </w:p>
        </w:tc>
      </w:tr>
      <w:tr>
        <w:tc>
          <w:tcPr>
            <w:tcW w:type="dxa" w:w="3231"/>
            <w:shd w:val="clear" w:color="auto" w:fill="FFFFFF"/>
          </w:tcPr>
          <w:p>
            <w:pPr>
              <w:spacing w:after="20"/>
            </w:pPr>
            <w:r>
              <w:rPr>
                <w:rFonts w:ascii="Calibri" w:hAnsi="Calibri"/>
                <w:b w:val="0"/>
                <w:i w:val="0"/>
                <w:color w:val="2B2F38"/>
                <w:sz w:val="19"/>
              </w:rPr>
              <w:t>Albertsons</w:t>
            </w:r>
          </w:p>
        </w:tc>
        <w:tc>
          <w:tcPr>
            <w:tcW w:type="dxa" w:w="2091"/>
            <w:shd w:val="clear" w:color="auto" w:fill="FFFFFF"/>
          </w:tcPr>
          <w:p>
            <w:pPr>
              <w:spacing w:after="20"/>
              <w:jc w:val="right"/>
            </w:pPr>
            <w:r>
              <w:rPr>
                <w:rFonts w:ascii="Calibri" w:hAnsi="Calibri"/>
                <w:b w:val="0"/>
                <w:i w:val="0"/>
                <w:color w:val="2B2F38"/>
                <w:sz w:val="19"/>
              </w:rPr>
              <w:t>$13.7M</w:t>
            </w:r>
          </w:p>
        </w:tc>
        <w:tc>
          <w:tcPr>
            <w:tcW w:type="dxa" w:w="2091"/>
            <w:shd w:val="clear" w:color="auto" w:fill="FFFFFF"/>
          </w:tcPr>
          <w:p>
            <w:pPr>
              <w:spacing w:after="20"/>
              <w:jc w:val="right"/>
            </w:pPr>
            <w:r>
              <w:rPr>
                <w:rFonts w:ascii="Calibri" w:hAnsi="Calibri"/>
                <w:b w:val="0"/>
                <w:i w:val="0"/>
                <w:color w:val="2B2F38"/>
                <w:sz w:val="19"/>
              </w:rPr>
              <w:t>$13.0M</w:t>
            </w:r>
          </w:p>
        </w:tc>
        <w:tc>
          <w:tcPr>
            <w:tcW w:type="dxa" w:w="2091"/>
            <w:shd w:val="clear" w:color="auto" w:fill="FFFFFF"/>
          </w:tcPr>
          <w:p>
            <w:pPr>
              <w:spacing w:after="20"/>
              <w:jc w:val="right"/>
            </w:pPr>
            <w:r>
              <w:rPr>
                <w:rFonts w:ascii="Calibri" w:hAnsi="Calibri"/>
                <w:b w:val="0"/>
                <w:i w:val="0"/>
                <w:color w:val="2B2F38"/>
                <w:sz w:val="19"/>
              </w:rPr>
              <w:t>-5.3%</w:t>
            </w:r>
          </w:p>
        </w:tc>
      </w:tr>
      <w:tr>
        <w:tc>
          <w:tcPr>
            <w:tcW w:type="dxa" w:w="3231"/>
            <w:shd w:val="clear" w:color="auto" w:fill="F5F7F9"/>
          </w:tcPr>
          <w:p>
            <w:pPr>
              <w:spacing w:after="20"/>
            </w:pPr>
            <w:r>
              <w:rPr>
                <w:rFonts w:ascii="Calibri" w:hAnsi="Calibri"/>
                <w:b w:val="0"/>
                <w:i w:val="0"/>
                <w:color w:val="2B2F38"/>
                <w:sz w:val="19"/>
              </w:rPr>
              <w:t>Amazon</w:t>
            </w:r>
          </w:p>
        </w:tc>
        <w:tc>
          <w:tcPr>
            <w:tcW w:type="dxa" w:w="2091"/>
            <w:shd w:val="clear" w:color="auto" w:fill="F5F7F9"/>
          </w:tcPr>
          <w:p>
            <w:pPr>
              <w:spacing w:after="20"/>
              <w:jc w:val="right"/>
            </w:pPr>
            <w:r>
              <w:rPr>
                <w:rFonts w:ascii="Calibri" w:hAnsi="Calibri"/>
                <w:b w:val="0"/>
                <w:i w:val="0"/>
                <w:color w:val="2B2F38"/>
                <w:sz w:val="19"/>
              </w:rPr>
              <w:t>$11.6M</w:t>
            </w:r>
          </w:p>
        </w:tc>
        <w:tc>
          <w:tcPr>
            <w:tcW w:type="dxa" w:w="2091"/>
            <w:shd w:val="clear" w:color="auto" w:fill="F5F7F9"/>
          </w:tcPr>
          <w:p>
            <w:pPr>
              <w:spacing w:after="20"/>
              <w:jc w:val="right"/>
            </w:pPr>
            <w:r>
              <w:rPr>
                <w:rFonts w:ascii="Calibri" w:hAnsi="Calibri"/>
                <w:b w:val="0"/>
                <w:i w:val="0"/>
                <w:color w:val="2B2F38"/>
                <w:sz w:val="19"/>
              </w:rPr>
              <w:t>$10.9M</w:t>
            </w:r>
          </w:p>
        </w:tc>
        <w:tc>
          <w:tcPr>
            <w:tcW w:type="dxa" w:w="2091"/>
            <w:shd w:val="clear" w:color="auto" w:fill="F5F7F9"/>
          </w:tcPr>
          <w:p>
            <w:pPr>
              <w:spacing w:after="20"/>
              <w:jc w:val="right"/>
            </w:pPr>
            <w:r>
              <w:rPr>
                <w:rFonts w:ascii="Calibri" w:hAnsi="Calibri"/>
                <w:b w:val="0"/>
                <w:i w:val="0"/>
                <w:color w:val="2B2F38"/>
                <w:sz w:val="19"/>
              </w:rPr>
              <w:t>-5.3%</w:t>
            </w:r>
          </w:p>
        </w:tc>
      </w:tr>
      <w:tr>
        <w:tc>
          <w:tcPr>
            <w:tcW w:type="dxa" w:w="3231"/>
            <w:shd w:val="clear" w:color="auto" w:fill="FFFFFF"/>
          </w:tcPr>
          <w:p>
            <w:pPr>
              <w:spacing w:after="20"/>
            </w:pPr>
            <w:r>
              <w:rPr>
                <w:rFonts w:ascii="Calibri" w:hAnsi="Calibri"/>
                <w:b w:val="0"/>
                <w:i w:val="0"/>
                <w:color w:val="2B2F38"/>
                <w:sz w:val="19"/>
              </w:rPr>
              <w:t>H-E-B</w:t>
            </w:r>
          </w:p>
        </w:tc>
        <w:tc>
          <w:tcPr>
            <w:tcW w:type="dxa" w:w="2091"/>
            <w:shd w:val="clear" w:color="auto" w:fill="FFFFFF"/>
          </w:tcPr>
          <w:p>
            <w:pPr>
              <w:spacing w:after="20"/>
              <w:jc w:val="right"/>
            </w:pPr>
            <w:r>
              <w:rPr>
                <w:rFonts w:ascii="Calibri" w:hAnsi="Calibri"/>
                <w:b w:val="0"/>
                <w:i w:val="0"/>
                <w:color w:val="2B2F38"/>
                <w:sz w:val="19"/>
              </w:rPr>
              <w:t>$8.4M</w:t>
            </w:r>
          </w:p>
        </w:tc>
        <w:tc>
          <w:tcPr>
            <w:tcW w:type="dxa" w:w="2091"/>
            <w:shd w:val="clear" w:color="auto" w:fill="FFFFFF"/>
          </w:tcPr>
          <w:p>
            <w:pPr>
              <w:spacing w:after="20"/>
              <w:jc w:val="right"/>
            </w:pPr>
            <w:r>
              <w:rPr>
                <w:rFonts w:ascii="Calibri" w:hAnsi="Calibri"/>
                <w:b w:val="0"/>
                <w:i w:val="0"/>
                <w:color w:val="2B2F38"/>
                <w:sz w:val="19"/>
              </w:rPr>
              <w:t>$7.9M</w:t>
            </w:r>
          </w:p>
        </w:tc>
        <w:tc>
          <w:tcPr>
            <w:tcW w:type="dxa" w:w="2091"/>
            <w:shd w:val="clear" w:color="auto" w:fill="FFFFFF"/>
          </w:tcPr>
          <w:p>
            <w:pPr>
              <w:spacing w:after="20"/>
              <w:jc w:val="right"/>
            </w:pPr>
            <w:r>
              <w:rPr>
                <w:rFonts w:ascii="Calibri" w:hAnsi="Calibri"/>
                <w:b w:val="0"/>
                <w:i w:val="0"/>
                <w:color w:val="2B2F38"/>
                <w:sz w:val="19"/>
              </w:rPr>
              <w:t>-5.5%</w:t>
            </w:r>
          </w:p>
        </w:tc>
      </w:tr>
      <w:tr>
        <w:tc>
          <w:tcPr>
            <w:tcW w:type="dxa" w:w="3231"/>
            <w:shd w:val="clear" w:color="auto" w:fill="F5F7F9"/>
          </w:tcPr>
          <w:p>
            <w:pPr>
              <w:spacing w:after="20"/>
            </w:pPr>
            <w:r>
              <w:rPr>
                <w:rFonts w:ascii="Calibri" w:hAnsi="Calibri"/>
                <w:b w:val="0"/>
                <w:i w:val="0"/>
                <w:color w:val="2B2F38"/>
                <w:sz w:val="19"/>
              </w:rPr>
              <w:t>Publix</w:t>
            </w:r>
          </w:p>
        </w:tc>
        <w:tc>
          <w:tcPr>
            <w:tcW w:type="dxa" w:w="2091"/>
            <w:shd w:val="clear" w:color="auto" w:fill="F5F7F9"/>
          </w:tcPr>
          <w:p>
            <w:pPr>
              <w:spacing w:after="20"/>
              <w:jc w:val="right"/>
            </w:pPr>
            <w:r>
              <w:rPr>
                <w:rFonts w:ascii="Calibri" w:hAnsi="Calibri"/>
                <w:b w:val="0"/>
                <w:i w:val="0"/>
                <w:color w:val="2B2F38"/>
                <w:sz w:val="19"/>
              </w:rPr>
              <w:t>$7.7M</w:t>
            </w:r>
          </w:p>
        </w:tc>
        <w:tc>
          <w:tcPr>
            <w:tcW w:type="dxa" w:w="2091"/>
            <w:shd w:val="clear" w:color="auto" w:fill="F5F7F9"/>
          </w:tcPr>
          <w:p>
            <w:pPr>
              <w:spacing w:after="20"/>
              <w:jc w:val="right"/>
            </w:pPr>
            <w:r>
              <w:rPr>
                <w:rFonts w:ascii="Calibri" w:hAnsi="Calibri"/>
                <w:b w:val="0"/>
                <w:i w:val="0"/>
                <w:color w:val="2B2F38"/>
                <w:sz w:val="19"/>
              </w:rPr>
              <w:t>$7.3M</w:t>
            </w:r>
          </w:p>
        </w:tc>
        <w:tc>
          <w:tcPr>
            <w:tcW w:type="dxa" w:w="2091"/>
            <w:shd w:val="clear" w:color="auto" w:fill="F5F7F9"/>
          </w:tcPr>
          <w:p>
            <w:pPr>
              <w:spacing w:after="20"/>
              <w:jc w:val="right"/>
            </w:pPr>
            <w:r>
              <w:rPr>
                <w:rFonts w:ascii="Calibri" w:hAnsi="Calibri"/>
                <w:b w:val="0"/>
                <w:i w:val="0"/>
                <w:color w:val="2B2F38"/>
                <w:sz w:val="19"/>
              </w:rPr>
              <w:t>-5.5%</w:t>
            </w:r>
          </w:p>
        </w:tc>
      </w:tr>
      <w:tr>
        <w:tc>
          <w:tcPr>
            <w:tcW w:type="dxa" w:w="3231"/>
            <w:shd w:val="clear" w:color="auto" w:fill="FFFFFF"/>
          </w:tcPr>
          <w:p>
            <w:pPr>
              <w:spacing w:after="20"/>
            </w:pPr>
            <w:r>
              <w:rPr>
                <w:rFonts w:ascii="Calibri" w:hAnsi="Calibri"/>
                <w:b w:val="0"/>
                <w:i w:val="0"/>
                <w:color w:val="2B2F38"/>
                <w:sz w:val="19"/>
              </w:rPr>
              <w:t>Sams Club</w:t>
            </w:r>
          </w:p>
        </w:tc>
        <w:tc>
          <w:tcPr>
            <w:tcW w:type="dxa" w:w="2091"/>
            <w:shd w:val="clear" w:color="auto" w:fill="FFFFFF"/>
          </w:tcPr>
          <w:p>
            <w:pPr>
              <w:spacing w:after="20"/>
              <w:jc w:val="right"/>
            </w:pPr>
            <w:r>
              <w:rPr>
                <w:rFonts w:ascii="Calibri" w:hAnsi="Calibri"/>
                <w:b w:val="0"/>
                <w:i w:val="0"/>
                <w:color w:val="2B2F38"/>
                <w:sz w:val="19"/>
              </w:rPr>
              <w:t>$7.3M</w:t>
            </w:r>
          </w:p>
        </w:tc>
        <w:tc>
          <w:tcPr>
            <w:tcW w:type="dxa" w:w="2091"/>
            <w:shd w:val="clear" w:color="auto" w:fill="FFFFFF"/>
          </w:tcPr>
          <w:p>
            <w:pPr>
              <w:spacing w:after="20"/>
              <w:jc w:val="right"/>
            </w:pPr>
            <w:r>
              <w:rPr>
                <w:rFonts w:ascii="Calibri" w:hAnsi="Calibri"/>
                <w:b w:val="0"/>
                <w:i w:val="0"/>
                <w:color w:val="2B2F38"/>
                <w:sz w:val="19"/>
              </w:rPr>
              <w:t>$6.9M</w:t>
            </w:r>
          </w:p>
        </w:tc>
        <w:tc>
          <w:tcPr>
            <w:tcW w:type="dxa" w:w="2091"/>
            <w:shd w:val="clear" w:color="auto" w:fill="FFFFFF"/>
          </w:tcPr>
          <w:p>
            <w:pPr>
              <w:spacing w:after="20"/>
              <w:jc w:val="right"/>
            </w:pPr>
            <w:r>
              <w:rPr>
                <w:rFonts w:ascii="Calibri" w:hAnsi="Calibri"/>
                <w:b w:val="0"/>
                <w:i w:val="0"/>
                <w:color w:val="2B2F38"/>
                <w:sz w:val="19"/>
              </w:rPr>
              <w:t>-5.5%</w:t>
            </w:r>
          </w:p>
        </w:tc>
      </w:tr>
      <w:tr>
        <w:tc>
          <w:tcPr>
            <w:tcW w:type="dxa" w:w="3231"/>
            <w:shd w:val="clear" w:color="auto" w:fill="F5F7F9"/>
          </w:tcPr>
          <w:p>
            <w:pPr>
              <w:spacing w:after="20"/>
            </w:pPr>
            <w:r>
              <w:rPr>
                <w:rFonts w:ascii="Calibri" w:hAnsi="Calibri"/>
                <w:b w:val="0"/>
                <w:i w:val="0"/>
                <w:color w:val="2B2F38"/>
                <w:sz w:val="19"/>
              </w:rPr>
              <w:t>Meijer</w:t>
            </w:r>
          </w:p>
        </w:tc>
        <w:tc>
          <w:tcPr>
            <w:tcW w:type="dxa" w:w="2091"/>
            <w:shd w:val="clear" w:color="auto" w:fill="F5F7F9"/>
          </w:tcPr>
          <w:p>
            <w:pPr>
              <w:spacing w:after="20"/>
              <w:jc w:val="right"/>
            </w:pPr>
            <w:r>
              <w:rPr>
                <w:rFonts w:ascii="Calibri" w:hAnsi="Calibri"/>
                <w:b w:val="0"/>
                <w:i w:val="0"/>
                <w:color w:val="2B2F38"/>
                <w:sz w:val="19"/>
              </w:rPr>
              <w:t>$5.6M</w:t>
            </w:r>
          </w:p>
        </w:tc>
        <w:tc>
          <w:tcPr>
            <w:tcW w:type="dxa" w:w="2091"/>
            <w:shd w:val="clear" w:color="auto" w:fill="F5F7F9"/>
          </w:tcPr>
          <w:p>
            <w:pPr>
              <w:spacing w:after="20"/>
              <w:jc w:val="right"/>
            </w:pPr>
            <w:r>
              <w:rPr>
                <w:rFonts w:ascii="Calibri" w:hAnsi="Calibri"/>
                <w:b w:val="0"/>
                <w:i w:val="0"/>
                <w:color w:val="2B2F38"/>
                <w:sz w:val="19"/>
              </w:rPr>
              <w:t>$5.3M</w:t>
            </w:r>
          </w:p>
        </w:tc>
        <w:tc>
          <w:tcPr>
            <w:tcW w:type="dxa" w:w="2091"/>
            <w:shd w:val="clear" w:color="auto" w:fill="F5F7F9"/>
          </w:tcPr>
          <w:p>
            <w:pPr>
              <w:spacing w:after="20"/>
              <w:jc w:val="right"/>
            </w:pPr>
            <w:r>
              <w:rPr>
                <w:rFonts w:ascii="Calibri" w:hAnsi="Calibri"/>
                <w:b w:val="0"/>
                <w:i w:val="0"/>
                <w:color w:val="2B2F38"/>
                <w:sz w:val="19"/>
              </w:rPr>
              <w:t>-5.4%</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plan_vs_actual, Q1 FY2026, top ten retailers by plan.</w:t>
      </w:r>
    </w:p>
    <w:p>
      <w:pPr>
        <w:spacing w:before="80" w:after="40"/>
      </w:pPr>
      <w:r>
        <w:drawing>
          <wp:inline xmlns:a="http://schemas.openxmlformats.org/drawingml/2006/main" xmlns:pic="http://schemas.openxmlformats.org/drawingml/2006/picture">
            <wp:extent cx="6035040" cy="2398204"/>
            <wp:docPr id="1" name="Picture 1"/>
            <wp:cNvGraphicFramePr>
              <a:graphicFrameLocks noChangeAspect="1"/>
            </wp:cNvGraphicFramePr>
            <a:graphic>
              <a:graphicData uri="http://schemas.openxmlformats.org/drawingml/2006/picture">
                <pic:pic>
                  <pic:nvPicPr>
                    <pic:cNvPr id="0" name="r79_retailer.png"/>
                    <pic:cNvPicPr/>
                  </pic:nvPicPr>
                  <pic:blipFill>
                    <a:blip r:embed="rId10"/>
                    <a:stretch>
                      <a:fillRect/>
                    </a:stretch>
                  </pic:blipFill>
                  <pic:spPr>
                    <a:xfrm>
                      <a:off x="0" y="0"/>
                      <a:ext cx="6035040" cy="2398204"/>
                    </a:xfrm>
                    <a:prstGeom prst="rect"/>
                  </pic:spPr>
                </pic:pic>
              </a:graphicData>
            </a:graphic>
          </wp:inline>
        </w:drawing>
      </w:r>
    </w:p>
    <w:p>
      <w:pPr>
        <w:keepNext w:val="0"/>
        <w:spacing w:after="160" w:before="0" w:line="274" w:lineRule="auto"/>
      </w:pPr>
      <w:r>
        <w:rPr>
          <w:rFonts w:ascii="Calibri" w:hAnsi="Calibri"/>
          <w:b w:val="0"/>
          <w:i/>
          <w:color w:val="5B6472"/>
          <w:sz w:val="17"/>
        </w:rPr>
        <w:t>Club performs in line with the book. The strategic issue here is structural, not current-year performance.</w:t>
      </w:r>
    </w:p>
    <w:p>
      <w:pPr>
        <w:keepNext/>
        <w:spacing w:after="40" w:before="240" w:line="274" w:lineRule="auto"/>
      </w:pPr>
      <w:r>
        <w:rPr>
          <w:rFonts w:ascii="Calibri" w:hAnsi="Calibri"/>
          <w:b/>
          <w:i w:val="0"/>
          <w:color w:val="2E7D75"/>
          <w:sz w:val="18"/>
        </w:rPr>
        <w:t>PACK ARCHITECTURE</w:t>
      </w:r>
    </w:p>
    <w:p>
      <w:pPr>
        <w:keepNext/>
        <w:spacing w:after="100" w:before="0" w:line="274" w:lineRule="auto"/>
      </w:pPr>
      <w:r>
        <w:rPr>
          <w:rFonts w:ascii="Calibri" w:hAnsi="Calibri"/>
          <w:b/>
          <w:i w:val="0"/>
          <w:color w:val="1F2A44"/>
          <w:sz w:val="31"/>
        </w:rPr>
        <w:t>3 · The question the channel forces</w:t>
      </w:r>
    </w:p>
    <w:p>
      <w:pPr>
        <w:keepNext w:val="0"/>
        <w:spacing w:after="120" w:before="0" w:line="274" w:lineRule="auto"/>
      </w:pPr>
      <w:r>
        <w:rPr>
          <w:rFonts w:ascii="Calibri" w:hAnsi="Calibri"/>
          <w:b w:val="0"/>
          <w:i w:val="0"/>
          <w:color w:val="2B2F38"/>
          <w:sz w:val="21"/>
        </w:rPr>
        <w:t>Club needs a value equation the shopper can see at the shelf, which historically means the largest pack at the lowest price per ounce. Two things now cut against that. First, the elasticity data says our large packs are our most elastic, so club pricing pressure transmits directly into the reference price everywhere else. Second, if serving demand shrinks, the largest pack becomes the least attractive rather than the best value.</w:t>
      </w:r>
    </w:p>
    <w:p>
      <w:pPr>
        <w:pStyle w:val="ListBullet"/>
        <w:spacing w:after="80" w:line="274" w:lineRule="auto"/>
        <w:ind w:left="403" w:hanging="230"/>
      </w:pPr>
      <w:r>
        <w:rPr>
          <w:rFonts w:ascii="Calibri" w:hAnsi="Calibri"/>
          <w:b/>
          <w:i w:val="0"/>
          <w:color w:val="2B2F38"/>
          <w:sz w:val="21"/>
        </w:rPr>
        <w:t>Crunchwell 36oz Mega Family Pack (Stage-3, 2027-Q1, $8.5M year-one)</w:t>
      </w:r>
      <w:r>
        <w:rPr>
          <w:rFonts w:ascii="Calibri" w:hAnsi="Calibri"/>
          <w:b w:val="0"/>
          <w:i w:val="0"/>
          <w:color w:val="2B2F38"/>
          <w:sz w:val="21"/>
        </w:rPr>
        <w:t xml:space="preserve"> is the club-ready answer to the value equation and should be positioned as club-first.</w:t>
      </w:r>
    </w:p>
    <w:p>
      <w:pPr>
        <w:pStyle w:val="ListBullet"/>
        <w:spacing w:after="80" w:line="274" w:lineRule="auto"/>
        <w:ind w:left="403" w:hanging="230"/>
      </w:pPr>
      <w:r>
        <w:rPr>
          <w:rFonts w:ascii="Calibri" w:hAnsi="Calibri"/>
          <w:b/>
          <w:i w:val="0"/>
          <w:color w:val="2B2F38"/>
          <w:sz w:val="21"/>
        </w:rPr>
        <w:t>But it should launch with a defended price</w:t>
      </w:r>
      <w:r>
        <w:rPr>
          <w:rFonts w:ascii="Calibri" w:hAnsi="Calibri"/>
          <w:b w:val="0"/>
          <w:i w:val="0"/>
          <w:color w:val="2B2F38"/>
          <w:sz w:val="21"/>
        </w:rPr>
        <w:t xml:space="preserve"> — $8.99 target, launch support only, no depth — precisely because it sets the price-per-ounce anchor for the whole ladder (Report 64).</w:t>
      </w:r>
    </w:p>
    <w:p>
      <w:pPr>
        <w:pStyle w:val="ListBullet"/>
        <w:spacing w:after="80" w:line="274" w:lineRule="auto"/>
        <w:ind w:left="403" w:hanging="230"/>
      </w:pPr>
      <w:r>
        <w:rPr>
          <w:rFonts w:ascii="Calibri" w:hAnsi="Calibri"/>
          <w:b/>
          <w:i w:val="0"/>
          <w:color w:val="2B2F38"/>
          <w:sz w:val="21"/>
        </w:rPr>
        <w:t>ProteinPeak club pack</w:t>
      </w:r>
      <w:r>
        <w:rPr>
          <w:rFonts w:ascii="Calibri" w:hAnsi="Calibri"/>
          <w:b w:val="0"/>
          <w:i w:val="0"/>
          <w:color w:val="2B2F38"/>
          <w:sz w:val="21"/>
        </w:rPr>
        <w:t xml:space="preserve"> is the higher-margin opportunity: premium price per serving, growing segment, and a shopper who is buying nutrient density rather than volume.</w:t>
      </w:r>
    </w:p>
    <w:p>
      <w:pPr>
        <w:pStyle w:val="ListBullet"/>
        <w:spacing w:after="80" w:line="274" w:lineRule="auto"/>
        <w:ind w:left="403" w:hanging="230"/>
      </w:pPr>
      <w:r>
        <w:rPr>
          <w:rFonts w:ascii="Calibri" w:hAnsi="Calibri"/>
          <w:b/>
          <w:i w:val="0"/>
          <w:color w:val="2B2F38"/>
          <w:sz w:val="21"/>
        </w:rPr>
        <w:t>Single-serve multipacks</w:t>
      </w:r>
      <w:r>
        <w:rPr>
          <w:rFonts w:ascii="Calibri" w:hAnsi="Calibri"/>
          <w:b w:val="0"/>
          <w:i w:val="0"/>
          <w:color w:val="2B2F38"/>
          <w:sz w:val="21"/>
        </w:rPr>
        <w:t xml:space="preserve"> are the GLP-1 hedge — they convert a shrinking-serving trend into a higher price per ounce rather than a volume loss.</w:t>
      </w:r>
    </w:p>
    <w:p>
      <w:pPr>
        <w:keepNext w:val="0"/>
        <w:spacing w:after="40" w:before="0" w:line="274" w:lineRule="auto"/>
      </w:pP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041"/>
        <w:gridCol w:w="1521"/>
        <w:gridCol w:w="1140"/>
        <w:gridCol w:w="1331"/>
        <w:gridCol w:w="1140"/>
        <w:gridCol w:w="1331"/>
      </w:tblGrid>
      <w:tr>
        <w:tc>
          <w:tcPr>
            <w:tcW w:type="dxa" w:w="3041"/>
            <w:shd w:val="clear" w:color="auto" w:fill="1F2A44"/>
          </w:tcPr>
          <w:p>
            <w:pPr>
              <w:spacing w:after="20"/>
            </w:pPr>
            <w:r>
              <w:rPr>
                <w:rFonts w:ascii="Calibri" w:hAnsi="Calibri"/>
                <w:b/>
                <w:i w:val="0"/>
                <w:color w:val="FFFFFF"/>
                <w:sz w:val="17"/>
              </w:rPr>
              <w:t>SKU</w:t>
            </w:r>
          </w:p>
        </w:tc>
        <w:tc>
          <w:tcPr>
            <w:tcW w:type="dxa" w:w="1521"/>
            <w:shd w:val="clear" w:color="auto" w:fill="1F2A44"/>
          </w:tcPr>
          <w:p>
            <w:pPr>
              <w:spacing w:after="20"/>
            </w:pPr>
            <w:r>
              <w:rPr>
                <w:rFonts w:ascii="Calibri" w:hAnsi="Calibri"/>
                <w:b/>
                <w:i w:val="0"/>
                <w:color w:val="FFFFFF"/>
                <w:sz w:val="17"/>
              </w:rPr>
              <w:t>Brand</w:t>
            </w:r>
          </w:p>
        </w:tc>
        <w:tc>
          <w:tcPr>
            <w:tcW w:type="dxa" w:w="1140"/>
            <w:shd w:val="clear" w:color="auto" w:fill="1F2A44"/>
          </w:tcPr>
          <w:p>
            <w:pPr>
              <w:spacing w:after="20"/>
              <w:jc w:val="right"/>
            </w:pPr>
            <w:r>
              <w:rPr>
                <w:rFonts w:ascii="Calibri" w:hAnsi="Calibri"/>
                <w:b/>
                <w:i w:val="0"/>
                <w:color w:val="FFFFFF"/>
                <w:sz w:val="17"/>
              </w:rPr>
              <w:t>Pack</w:t>
            </w:r>
          </w:p>
        </w:tc>
        <w:tc>
          <w:tcPr>
            <w:tcW w:type="dxa" w:w="1331"/>
            <w:shd w:val="clear" w:color="auto" w:fill="1F2A44"/>
          </w:tcPr>
          <w:p>
            <w:pPr>
              <w:spacing w:after="20"/>
              <w:jc w:val="right"/>
            </w:pPr>
            <w:r>
              <w:rPr>
                <w:rFonts w:ascii="Calibri" w:hAnsi="Calibri"/>
                <w:b/>
                <w:i w:val="0"/>
                <w:color w:val="FFFFFF"/>
                <w:sz w:val="17"/>
              </w:rPr>
              <w:t>Shelf price</w:t>
            </w:r>
          </w:p>
        </w:tc>
        <w:tc>
          <w:tcPr>
            <w:tcW w:type="dxa" w:w="1140"/>
            <w:shd w:val="clear" w:color="auto" w:fill="1F2A44"/>
          </w:tcPr>
          <w:p>
            <w:pPr>
              <w:spacing w:after="20"/>
              <w:jc w:val="right"/>
            </w:pPr>
            <w:r>
              <w:rPr>
                <w:rFonts w:ascii="Calibri" w:hAnsi="Calibri"/>
                <w:b/>
                <w:i w:val="0"/>
                <w:color w:val="FFFFFF"/>
                <w:sz w:val="17"/>
              </w:rPr>
              <w:t>Price/oz</w:t>
            </w:r>
          </w:p>
        </w:tc>
        <w:tc>
          <w:tcPr>
            <w:tcW w:type="dxa" w:w="1331"/>
            <w:shd w:val="clear" w:color="auto" w:fill="1F2A44"/>
          </w:tcPr>
          <w:p>
            <w:pPr>
              <w:spacing w:after="20"/>
              <w:jc w:val="right"/>
            </w:pPr>
            <w:r>
              <w:rPr>
                <w:rFonts w:ascii="Calibri" w:hAnsi="Calibri"/>
                <w:b/>
                <w:i w:val="0"/>
                <w:color w:val="FFFFFF"/>
                <w:sz w:val="17"/>
              </w:rPr>
              <w:t>FY25 revenue</w:t>
            </w:r>
          </w:p>
        </w:tc>
      </w:tr>
      <w:tr>
        <w:tc>
          <w:tcPr>
            <w:tcW w:type="dxa" w:w="3041"/>
            <w:shd w:val="clear" w:color="auto" w:fill="FFFFFF"/>
          </w:tcPr>
          <w:p>
            <w:pPr>
              <w:spacing w:after="20"/>
            </w:pPr>
            <w:r>
              <w:rPr>
                <w:rFonts w:ascii="Calibri" w:hAnsi="Calibri"/>
                <w:b w:val="0"/>
                <w:i w:val="0"/>
                <w:color w:val="2B2F38"/>
                <w:sz w:val="18"/>
              </w:rPr>
              <w:t>Crunchwell Original Family</w:t>
            </w:r>
          </w:p>
        </w:tc>
        <w:tc>
          <w:tcPr>
            <w:tcW w:type="dxa" w:w="1521"/>
            <w:shd w:val="clear" w:color="auto" w:fill="FFFFFF"/>
          </w:tcPr>
          <w:p>
            <w:pPr>
              <w:spacing w:after="20"/>
            </w:pPr>
            <w:r>
              <w:rPr>
                <w:rFonts w:ascii="Calibri" w:hAnsi="Calibri"/>
                <w:b w:val="0"/>
                <w:i w:val="0"/>
                <w:color w:val="2B2F38"/>
                <w:sz w:val="18"/>
              </w:rPr>
              <w:t>Crunchwell</w:t>
            </w:r>
          </w:p>
        </w:tc>
        <w:tc>
          <w:tcPr>
            <w:tcW w:type="dxa" w:w="1140"/>
            <w:shd w:val="clear" w:color="auto" w:fill="FFFFFF"/>
          </w:tcPr>
          <w:p>
            <w:pPr>
              <w:spacing w:after="20"/>
              <w:jc w:val="right"/>
            </w:pPr>
            <w:r>
              <w:rPr>
                <w:rFonts w:ascii="Calibri" w:hAnsi="Calibri"/>
                <w:b w:val="0"/>
                <w:i w:val="0"/>
                <w:color w:val="2B2F38"/>
                <w:sz w:val="18"/>
              </w:rPr>
              <w:t>14oz</w:t>
            </w:r>
          </w:p>
        </w:tc>
        <w:tc>
          <w:tcPr>
            <w:tcW w:type="dxa" w:w="1331"/>
            <w:shd w:val="clear" w:color="auto" w:fill="FFFFFF"/>
          </w:tcPr>
          <w:p>
            <w:pPr>
              <w:spacing w:after="20"/>
              <w:jc w:val="right"/>
            </w:pPr>
            <w:r>
              <w:rPr>
                <w:rFonts w:ascii="Calibri" w:hAnsi="Calibri"/>
                <w:b w:val="0"/>
                <w:i w:val="0"/>
                <w:color w:val="2B2F38"/>
                <w:sz w:val="18"/>
              </w:rPr>
              <w:t>$4.29</w:t>
            </w:r>
          </w:p>
        </w:tc>
        <w:tc>
          <w:tcPr>
            <w:tcW w:type="dxa" w:w="1140"/>
            <w:shd w:val="clear" w:color="auto" w:fill="FFFFFF"/>
          </w:tcPr>
          <w:p>
            <w:pPr>
              <w:spacing w:after="20"/>
              <w:jc w:val="right"/>
            </w:pPr>
            <w:r>
              <w:rPr>
                <w:rFonts w:ascii="Calibri" w:hAnsi="Calibri"/>
                <w:b w:val="0"/>
                <w:i w:val="0"/>
                <w:color w:val="2B2F38"/>
                <w:sz w:val="18"/>
              </w:rPr>
              <w:t>$0.31</w:t>
            </w:r>
          </w:p>
        </w:tc>
        <w:tc>
          <w:tcPr>
            <w:tcW w:type="dxa" w:w="1331"/>
            <w:shd w:val="clear" w:color="auto" w:fill="FFFFFF"/>
          </w:tcPr>
          <w:p>
            <w:pPr>
              <w:spacing w:after="20"/>
              <w:jc w:val="right"/>
            </w:pPr>
            <w:r>
              <w:rPr>
                <w:rFonts w:ascii="Calibri" w:hAnsi="Calibri"/>
                <w:b w:val="0"/>
                <w:i w:val="0"/>
                <w:color w:val="2B2F38"/>
                <w:sz w:val="18"/>
              </w:rPr>
              <w:t>$68.4M</w:t>
            </w:r>
          </w:p>
        </w:tc>
      </w:tr>
      <w:tr>
        <w:tc>
          <w:tcPr>
            <w:tcW w:type="dxa" w:w="3041"/>
            <w:shd w:val="clear" w:color="auto" w:fill="F5F7F9"/>
          </w:tcPr>
          <w:p>
            <w:pPr>
              <w:spacing w:after="20"/>
            </w:pPr>
            <w:r>
              <w:rPr>
                <w:rFonts w:ascii="Calibri" w:hAnsi="Calibri"/>
                <w:b w:val="0"/>
                <w:i w:val="0"/>
                <w:color w:val="2B2F38"/>
                <w:sz w:val="18"/>
              </w:rPr>
              <w:t>Crunchwell Honey Nut</w:t>
            </w:r>
          </w:p>
        </w:tc>
        <w:tc>
          <w:tcPr>
            <w:tcW w:type="dxa" w:w="1521"/>
            <w:shd w:val="clear" w:color="auto" w:fill="F5F7F9"/>
          </w:tcPr>
          <w:p>
            <w:pPr>
              <w:spacing w:after="20"/>
            </w:pPr>
            <w:r>
              <w:rPr>
                <w:rFonts w:ascii="Calibri" w:hAnsi="Calibri"/>
                <w:b w:val="0"/>
                <w:i w:val="0"/>
                <w:color w:val="2B2F38"/>
                <w:sz w:val="18"/>
              </w:rPr>
              <w:t>Crunchwell</w:t>
            </w:r>
          </w:p>
        </w:tc>
        <w:tc>
          <w:tcPr>
            <w:tcW w:type="dxa" w:w="1140"/>
            <w:shd w:val="clear" w:color="auto" w:fill="F5F7F9"/>
          </w:tcPr>
          <w:p>
            <w:pPr>
              <w:spacing w:after="20"/>
              <w:jc w:val="right"/>
            </w:pPr>
            <w:r>
              <w:rPr>
                <w:rFonts w:ascii="Calibri" w:hAnsi="Calibri"/>
                <w:b w:val="0"/>
                <w:i w:val="0"/>
                <w:color w:val="2B2F38"/>
                <w:sz w:val="18"/>
              </w:rPr>
              <w:t>14oz</w:t>
            </w:r>
          </w:p>
        </w:tc>
        <w:tc>
          <w:tcPr>
            <w:tcW w:type="dxa" w:w="1331"/>
            <w:shd w:val="clear" w:color="auto" w:fill="F5F7F9"/>
          </w:tcPr>
          <w:p>
            <w:pPr>
              <w:spacing w:after="20"/>
              <w:jc w:val="right"/>
            </w:pPr>
            <w:r>
              <w:rPr>
                <w:rFonts w:ascii="Calibri" w:hAnsi="Calibri"/>
                <w:b w:val="0"/>
                <w:i w:val="0"/>
                <w:color w:val="2B2F38"/>
                <w:sz w:val="18"/>
              </w:rPr>
              <w:t>$4.49</w:t>
            </w:r>
          </w:p>
        </w:tc>
        <w:tc>
          <w:tcPr>
            <w:tcW w:type="dxa" w:w="1140"/>
            <w:shd w:val="clear" w:color="auto" w:fill="F5F7F9"/>
          </w:tcPr>
          <w:p>
            <w:pPr>
              <w:spacing w:after="20"/>
              <w:jc w:val="right"/>
            </w:pPr>
            <w:r>
              <w:rPr>
                <w:rFonts w:ascii="Calibri" w:hAnsi="Calibri"/>
                <w:b w:val="0"/>
                <w:i w:val="0"/>
                <w:color w:val="2B2F38"/>
                <w:sz w:val="18"/>
              </w:rPr>
              <w:t>$0.32</w:t>
            </w:r>
          </w:p>
        </w:tc>
        <w:tc>
          <w:tcPr>
            <w:tcW w:type="dxa" w:w="1331"/>
            <w:shd w:val="clear" w:color="auto" w:fill="F5F7F9"/>
          </w:tcPr>
          <w:p>
            <w:pPr>
              <w:spacing w:after="20"/>
              <w:jc w:val="right"/>
            </w:pPr>
            <w:r>
              <w:rPr>
                <w:rFonts w:ascii="Calibri" w:hAnsi="Calibri"/>
                <w:b w:val="0"/>
                <w:i w:val="0"/>
                <w:color w:val="2B2F38"/>
                <w:sz w:val="18"/>
              </w:rPr>
              <w:t>$61.7M</w:t>
            </w:r>
          </w:p>
        </w:tc>
      </w:tr>
      <w:tr>
        <w:tc>
          <w:tcPr>
            <w:tcW w:type="dxa" w:w="3041"/>
            <w:shd w:val="clear" w:color="auto" w:fill="FFFFFF"/>
          </w:tcPr>
          <w:p>
            <w:pPr>
              <w:spacing w:after="20"/>
            </w:pPr>
            <w:r>
              <w:rPr>
                <w:rFonts w:ascii="Calibri" w:hAnsi="Calibri"/>
                <w:b w:val="0"/>
                <w:i w:val="0"/>
                <w:color w:val="2B2F38"/>
                <w:sz w:val="18"/>
              </w:rPr>
              <w:t>Crunchwell Original Mega</w:t>
            </w:r>
          </w:p>
        </w:tc>
        <w:tc>
          <w:tcPr>
            <w:tcW w:type="dxa" w:w="1521"/>
            <w:shd w:val="clear" w:color="auto" w:fill="FFFFFF"/>
          </w:tcPr>
          <w:p>
            <w:pPr>
              <w:spacing w:after="20"/>
            </w:pPr>
            <w:r>
              <w:rPr>
                <w:rFonts w:ascii="Calibri" w:hAnsi="Calibri"/>
                <w:b w:val="0"/>
                <w:i w:val="0"/>
                <w:color w:val="2B2F38"/>
                <w:sz w:val="18"/>
              </w:rPr>
              <w:t>Crunchwell</w:t>
            </w:r>
          </w:p>
        </w:tc>
        <w:tc>
          <w:tcPr>
            <w:tcW w:type="dxa" w:w="1140"/>
            <w:shd w:val="clear" w:color="auto" w:fill="FFFFFF"/>
          </w:tcPr>
          <w:p>
            <w:pPr>
              <w:spacing w:after="20"/>
              <w:jc w:val="right"/>
            </w:pPr>
            <w:r>
              <w:rPr>
                <w:rFonts w:ascii="Calibri" w:hAnsi="Calibri"/>
                <w:b w:val="0"/>
                <w:i w:val="0"/>
                <w:color w:val="2B2F38"/>
                <w:sz w:val="18"/>
              </w:rPr>
              <w:t>18oz</w:t>
            </w:r>
          </w:p>
        </w:tc>
        <w:tc>
          <w:tcPr>
            <w:tcW w:type="dxa" w:w="1331"/>
            <w:shd w:val="clear" w:color="auto" w:fill="FFFFFF"/>
          </w:tcPr>
          <w:p>
            <w:pPr>
              <w:spacing w:after="20"/>
              <w:jc w:val="right"/>
            </w:pPr>
            <w:r>
              <w:rPr>
                <w:rFonts w:ascii="Calibri" w:hAnsi="Calibri"/>
                <w:b w:val="0"/>
                <w:i w:val="0"/>
                <w:color w:val="2B2F38"/>
                <w:sz w:val="18"/>
              </w:rPr>
              <w:t>$5.49</w:t>
            </w:r>
          </w:p>
        </w:tc>
        <w:tc>
          <w:tcPr>
            <w:tcW w:type="dxa" w:w="1140"/>
            <w:shd w:val="clear" w:color="auto" w:fill="FFFFFF"/>
          </w:tcPr>
          <w:p>
            <w:pPr>
              <w:spacing w:after="20"/>
              <w:jc w:val="right"/>
            </w:pPr>
            <w:r>
              <w:rPr>
                <w:rFonts w:ascii="Calibri" w:hAnsi="Calibri"/>
                <w:b w:val="0"/>
                <w:i w:val="0"/>
                <w:color w:val="2B2F38"/>
                <w:sz w:val="18"/>
              </w:rPr>
              <w:t>$0.30</w:t>
            </w:r>
          </w:p>
        </w:tc>
        <w:tc>
          <w:tcPr>
            <w:tcW w:type="dxa" w:w="1331"/>
            <w:shd w:val="clear" w:color="auto" w:fill="FFFFFF"/>
          </w:tcPr>
          <w:p>
            <w:pPr>
              <w:spacing w:after="20"/>
              <w:jc w:val="right"/>
            </w:pPr>
            <w:r>
              <w:rPr>
                <w:rFonts w:ascii="Calibri" w:hAnsi="Calibri"/>
                <w:b w:val="0"/>
                <w:i w:val="0"/>
                <w:color w:val="2B2F38"/>
                <w:sz w:val="18"/>
              </w:rPr>
              <w:t>$52.1M</w:t>
            </w:r>
          </w:p>
        </w:tc>
      </w:tr>
      <w:tr>
        <w:tc>
          <w:tcPr>
            <w:tcW w:type="dxa" w:w="3041"/>
            <w:shd w:val="clear" w:color="auto" w:fill="F5F7F9"/>
          </w:tcPr>
          <w:p>
            <w:pPr>
              <w:spacing w:after="20"/>
            </w:pPr>
            <w:r>
              <w:rPr>
                <w:rFonts w:ascii="Calibri" w:hAnsi="Calibri"/>
                <w:b w:val="0"/>
                <w:i w:val="0"/>
                <w:color w:val="2B2F38"/>
                <w:sz w:val="18"/>
              </w:rPr>
              <w:t>Crunchwell Honey Nut Mega</w:t>
            </w:r>
          </w:p>
        </w:tc>
        <w:tc>
          <w:tcPr>
            <w:tcW w:type="dxa" w:w="1521"/>
            <w:shd w:val="clear" w:color="auto" w:fill="F5F7F9"/>
          </w:tcPr>
          <w:p>
            <w:pPr>
              <w:spacing w:after="20"/>
            </w:pPr>
            <w:r>
              <w:rPr>
                <w:rFonts w:ascii="Calibri" w:hAnsi="Calibri"/>
                <w:b w:val="0"/>
                <w:i w:val="0"/>
                <w:color w:val="2B2F38"/>
                <w:sz w:val="18"/>
              </w:rPr>
              <w:t>Crunchwell</w:t>
            </w:r>
          </w:p>
        </w:tc>
        <w:tc>
          <w:tcPr>
            <w:tcW w:type="dxa" w:w="1140"/>
            <w:shd w:val="clear" w:color="auto" w:fill="F5F7F9"/>
          </w:tcPr>
          <w:p>
            <w:pPr>
              <w:spacing w:after="20"/>
              <w:jc w:val="right"/>
            </w:pPr>
            <w:r>
              <w:rPr>
                <w:rFonts w:ascii="Calibri" w:hAnsi="Calibri"/>
                <w:b w:val="0"/>
                <w:i w:val="0"/>
                <w:color w:val="2B2F38"/>
                <w:sz w:val="18"/>
              </w:rPr>
              <w:t>18oz</w:t>
            </w:r>
          </w:p>
        </w:tc>
        <w:tc>
          <w:tcPr>
            <w:tcW w:type="dxa" w:w="1331"/>
            <w:shd w:val="clear" w:color="auto" w:fill="F5F7F9"/>
          </w:tcPr>
          <w:p>
            <w:pPr>
              <w:spacing w:after="20"/>
              <w:jc w:val="right"/>
            </w:pPr>
            <w:r>
              <w:rPr>
                <w:rFonts w:ascii="Calibri" w:hAnsi="Calibri"/>
                <w:b w:val="0"/>
                <w:i w:val="0"/>
                <w:color w:val="2B2F38"/>
                <w:sz w:val="18"/>
              </w:rPr>
              <w:t>$5.69</w:t>
            </w:r>
          </w:p>
        </w:tc>
        <w:tc>
          <w:tcPr>
            <w:tcW w:type="dxa" w:w="1140"/>
            <w:shd w:val="clear" w:color="auto" w:fill="F5F7F9"/>
          </w:tcPr>
          <w:p>
            <w:pPr>
              <w:spacing w:after="20"/>
              <w:jc w:val="right"/>
            </w:pPr>
            <w:r>
              <w:rPr>
                <w:rFonts w:ascii="Calibri" w:hAnsi="Calibri"/>
                <w:b w:val="0"/>
                <w:i w:val="0"/>
                <w:color w:val="2B2F38"/>
                <w:sz w:val="18"/>
              </w:rPr>
              <w:t>$0.32</w:t>
            </w:r>
          </w:p>
        </w:tc>
        <w:tc>
          <w:tcPr>
            <w:tcW w:type="dxa" w:w="1331"/>
            <w:shd w:val="clear" w:color="auto" w:fill="F5F7F9"/>
          </w:tcPr>
          <w:p>
            <w:pPr>
              <w:spacing w:after="20"/>
              <w:jc w:val="right"/>
            </w:pPr>
            <w:r>
              <w:rPr>
                <w:rFonts w:ascii="Calibri" w:hAnsi="Calibri"/>
                <w:b w:val="0"/>
                <w:i w:val="0"/>
                <w:color w:val="2B2F38"/>
                <w:sz w:val="18"/>
              </w:rPr>
              <w:t>$41.8M</w:t>
            </w:r>
          </w:p>
        </w:tc>
      </w:tr>
      <w:tr>
        <w:tc>
          <w:tcPr>
            <w:tcW w:type="dxa" w:w="3041"/>
            <w:shd w:val="clear" w:color="auto" w:fill="FFFFFF"/>
          </w:tcPr>
          <w:p>
            <w:pPr>
              <w:spacing w:after="20"/>
            </w:pPr>
            <w:r>
              <w:rPr>
                <w:rFonts w:ascii="Calibri" w:hAnsi="Calibri"/>
                <w:b w:val="0"/>
                <w:i w:val="0"/>
                <w:color w:val="2B2F38"/>
                <w:sz w:val="18"/>
              </w:rPr>
              <w:t>Crunchwell Cinnamon Twist</w:t>
            </w:r>
          </w:p>
        </w:tc>
        <w:tc>
          <w:tcPr>
            <w:tcW w:type="dxa" w:w="1521"/>
            <w:shd w:val="clear" w:color="auto" w:fill="FFFFFF"/>
          </w:tcPr>
          <w:p>
            <w:pPr>
              <w:spacing w:after="20"/>
            </w:pPr>
            <w:r>
              <w:rPr>
                <w:rFonts w:ascii="Calibri" w:hAnsi="Calibri"/>
                <w:b w:val="0"/>
                <w:i w:val="0"/>
                <w:color w:val="2B2F38"/>
                <w:sz w:val="18"/>
              </w:rPr>
              <w:t>Crunchwell</w:t>
            </w:r>
          </w:p>
        </w:tc>
        <w:tc>
          <w:tcPr>
            <w:tcW w:type="dxa" w:w="1140"/>
            <w:shd w:val="clear" w:color="auto" w:fill="FFFFFF"/>
          </w:tcPr>
          <w:p>
            <w:pPr>
              <w:spacing w:after="20"/>
              <w:jc w:val="right"/>
            </w:pPr>
            <w:r>
              <w:rPr>
                <w:rFonts w:ascii="Calibri" w:hAnsi="Calibri"/>
                <w:b w:val="0"/>
                <w:i w:val="0"/>
                <w:color w:val="2B2F38"/>
                <w:sz w:val="18"/>
              </w:rPr>
              <w:t>14oz</w:t>
            </w:r>
          </w:p>
        </w:tc>
        <w:tc>
          <w:tcPr>
            <w:tcW w:type="dxa" w:w="1331"/>
            <w:shd w:val="clear" w:color="auto" w:fill="FFFFFF"/>
          </w:tcPr>
          <w:p>
            <w:pPr>
              <w:spacing w:after="20"/>
              <w:jc w:val="right"/>
            </w:pPr>
            <w:r>
              <w:rPr>
                <w:rFonts w:ascii="Calibri" w:hAnsi="Calibri"/>
                <w:b w:val="0"/>
                <w:i w:val="0"/>
                <w:color w:val="2B2F38"/>
                <w:sz w:val="18"/>
              </w:rPr>
              <w:t>$4.59</w:t>
            </w:r>
          </w:p>
        </w:tc>
        <w:tc>
          <w:tcPr>
            <w:tcW w:type="dxa" w:w="1140"/>
            <w:shd w:val="clear" w:color="auto" w:fill="FFFFFF"/>
          </w:tcPr>
          <w:p>
            <w:pPr>
              <w:spacing w:after="20"/>
              <w:jc w:val="right"/>
            </w:pPr>
            <w:r>
              <w:rPr>
                <w:rFonts w:ascii="Calibri" w:hAnsi="Calibri"/>
                <w:b w:val="0"/>
                <w:i w:val="0"/>
                <w:color w:val="2B2F38"/>
                <w:sz w:val="18"/>
              </w:rPr>
              <w:t>$0.33</w:t>
            </w:r>
          </w:p>
        </w:tc>
        <w:tc>
          <w:tcPr>
            <w:tcW w:type="dxa" w:w="1331"/>
            <w:shd w:val="clear" w:color="auto" w:fill="FFFFFF"/>
          </w:tcPr>
          <w:p>
            <w:pPr>
              <w:spacing w:after="20"/>
              <w:jc w:val="right"/>
            </w:pPr>
            <w:r>
              <w:rPr>
                <w:rFonts w:ascii="Calibri" w:hAnsi="Calibri"/>
                <w:b w:val="0"/>
                <w:i w:val="0"/>
                <w:color w:val="2B2F38"/>
                <w:sz w:val="18"/>
              </w:rPr>
              <w:t>$18.4M</w:t>
            </w:r>
          </w:p>
        </w:tc>
      </w:tr>
      <w:tr>
        <w:tc>
          <w:tcPr>
            <w:tcW w:type="dxa" w:w="3041"/>
            <w:shd w:val="clear" w:color="auto" w:fill="F5F7F9"/>
          </w:tcPr>
          <w:p>
            <w:pPr>
              <w:spacing w:after="20"/>
            </w:pPr>
            <w:r>
              <w:rPr>
                <w:rFonts w:ascii="Calibri" w:hAnsi="Calibri"/>
                <w:b w:val="0"/>
                <w:i w:val="0"/>
                <w:color w:val="2B2F38"/>
                <w:sz w:val="18"/>
              </w:rPr>
              <w:t>RootDay Oat Milk Original</w:t>
            </w:r>
          </w:p>
        </w:tc>
        <w:tc>
          <w:tcPr>
            <w:tcW w:type="dxa" w:w="1521"/>
            <w:shd w:val="clear" w:color="auto" w:fill="F5F7F9"/>
          </w:tcPr>
          <w:p>
            <w:pPr>
              <w:spacing w:after="20"/>
            </w:pPr>
            <w:r>
              <w:rPr>
                <w:rFonts w:ascii="Calibri" w:hAnsi="Calibri"/>
                <w:b w:val="0"/>
                <w:i w:val="0"/>
                <w:color w:val="2B2F38"/>
                <w:sz w:val="18"/>
              </w:rPr>
              <w:t>RootDay</w:t>
            </w:r>
          </w:p>
        </w:tc>
        <w:tc>
          <w:tcPr>
            <w:tcW w:type="dxa" w:w="1140"/>
            <w:shd w:val="clear" w:color="auto" w:fill="F5F7F9"/>
          </w:tcPr>
          <w:p>
            <w:pPr>
              <w:spacing w:after="20"/>
              <w:jc w:val="right"/>
            </w:pPr>
            <w:r>
              <w:rPr>
                <w:rFonts w:ascii="Calibri" w:hAnsi="Calibri"/>
                <w:b w:val="0"/>
                <w:i w:val="0"/>
                <w:color w:val="2B2F38"/>
                <w:sz w:val="18"/>
              </w:rPr>
              <w:t>32oz</w:t>
            </w:r>
          </w:p>
        </w:tc>
        <w:tc>
          <w:tcPr>
            <w:tcW w:type="dxa" w:w="1331"/>
            <w:shd w:val="clear" w:color="auto" w:fill="F5F7F9"/>
          </w:tcPr>
          <w:p>
            <w:pPr>
              <w:spacing w:after="20"/>
              <w:jc w:val="right"/>
            </w:pPr>
            <w:r>
              <w:rPr>
                <w:rFonts w:ascii="Calibri" w:hAnsi="Calibri"/>
                <w:b w:val="0"/>
                <w:i w:val="0"/>
                <w:color w:val="2B2F38"/>
                <w:sz w:val="18"/>
              </w:rPr>
              <w:t>$4.99</w:t>
            </w:r>
          </w:p>
        </w:tc>
        <w:tc>
          <w:tcPr>
            <w:tcW w:type="dxa" w:w="1140"/>
            <w:shd w:val="clear" w:color="auto" w:fill="F5F7F9"/>
          </w:tcPr>
          <w:p>
            <w:pPr>
              <w:spacing w:after="20"/>
              <w:jc w:val="right"/>
            </w:pPr>
            <w:r>
              <w:rPr>
                <w:rFonts w:ascii="Calibri" w:hAnsi="Calibri"/>
                <w:b w:val="0"/>
                <w:i w:val="0"/>
                <w:color w:val="2B2F38"/>
                <w:sz w:val="18"/>
              </w:rPr>
              <w:t>$0.16</w:t>
            </w:r>
          </w:p>
        </w:tc>
        <w:tc>
          <w:tcPr>
            <w:tcW w:type="dxa" w:w="1331"/>
            <w:shd w:val="clear" w:color="auto" w:fill="F5F7F9"/>
          </w:tcPr>
          <w:p>
            <w:pPr>
              <w:spacing w:after="20"/>
              <w:jc w:val="right"/>
            </w:pPr>
            <w:r>
              <w:rPr>
                <w:rFonts w:ascii="Calibri" w:hAnsi="Calibri"/>
                <w:b w:val="0"/>
                <w:i w:val="0"/>
                <w:color w:val="2B2F38"/>
                <w:sz w:val="18"/>
              </w:rPr>
              <w:t>$18.4M</w:t>
            </w:r>
          </w:p>
        </w:tc>
      </w:tr>
      <w:tr>
        <w:tc>
          <w:tcPr>
            <w:tcW w:type="dxa" w:w="3041"/>
            <w:shd w:val="clear" w:color="auto" w:fill="FFFFFF"/>
          </w:tcPr>
          <w:p>
            <w:pPr>
              <w:spacing w:after="20"/>
            </w:pPr>
            <w:r>
              <w:rPr>
                <w:rFonts w:ascii="Calibri" w:hAnsi="Calibri"/>
                <w:b w:val="0"/>
                <w:i w:val="0"/>
                <w:color w:val="2B2F38"/>
                <w:sz w:val="18"/>
              </w:rPr>
              <w:t>RootDay Oat Milk Barista</w:t>
            </w:r>
          </w:p>
        </w:tc>
        <w:tc>
          <w:tcPr>
            <w:tcW w:type="dxa" w:w="1521"/>
            <w:shd w:val="clear" w:color="auto" w:fill="FFFFFF"/>
          </w:tcPr>
          <w:p>
            <w:pPr>
              <w:spacing w:after="20"/>
            </w:pPr>
            <w:r>
              <w:rPr>
                <w:rFonts w:ascii="Calibri" w:hAnsi="Calibri"/>
                <w:b w:val="0"/>
                <w:i w:val="0"/>
                <w:color w:val="2B2F38"/>
                <w:sz w:val="18"/>
              </w:rPr>
              <w:t>RootDay</w:t>
            </w:r>
          </w:p>
        </w:tc>
        <w:tc>
          <w:tcPr>
            <w:tcW w:type="dxa" w:w="1140"/>
            <w:shd w:val="clear" w:color="auto" w:fill="FFFFFF"/>
          </w:tcPr>
          <w:p>
            <w:pPr>
              <w:spacing w:after="20"/>
              <w:jc w:val="right"/>
            </w:pPr>
            <w:r>
              <w:rPr>
                <w:rFonts w:ascii="Calibri" w:hAnsi="Calibri"/>
                <w:b w:val="0"/>
                <w:i w:val="0"/>
                <w:color w:val="2B2F38"/>
                <w:sz w:val="18"/>
              </w:rPr>
              <w:t>32oz</w:t>
            </w:r>
          </w:p>
        </w:tc>
        <w:tc>
          <w:tcPr>
            <w:tcW w:type="dxa" w:w="1331"/>
            <w:shd w:val="clear" w:color="auto" w:fill="FFFFFF"/>
          </w:tcPr>
          <w:p>
            <w:pPr>
              <w:spacing w:after="20"/>
              <w:jc w:val="right"/>
            </w:pPr>
            <w:r>
              <w:rPr>
                <w:rFonts w:ascii="Calibri" w:hAnsi="Calibri"/>
                <w:b w:val="0"/>
                <w:i w:val="0"/>
                <w:color w:val="2B2F38"/>
                <w:sz w:val="18"/>
              </w:rPr>
              <w:t>$5.49</w:t>
            </w:r>
          </w:p>
        </w:tc>
        <w:tc>
          <w:tcPr>
            <w:tcW w:type="dxa" w:w="1140"/>
            <w:shd w:val="clear" w:color="auto" w:fill="FFFFFF"/>
          </w:tcPr>
          <w:p>
            <w:pPr>
              <w:spacing w:after="20"/>
              <w:jc w:val="right"/>
            </w:pPr>
            <w:r>
              <w:rPr>
                <w:rFonts w:ascii="Calibri" w:hAnsi="Calibri"/>
                <w:b w:val="0"/>
                <w:i w:val="0"/>
                <w:color w:val="2B2F38"/>
                <w:sz w:val="18"/>
              </w:rPr>
              <w:t>$0.17</w:t>
            </w:r>
          </w:p>
        </w:tc>
        <w:tc>
          <w:tcPr>
            <w:tcW w:type="dxa" w:w="1331"/>
            <w:shd w:val="clear" w:color="auto" w:fill="FFFFFF"/>
          </w:tcPr>
          <w:p>
            <w:pPr>
              <w:spacing w:after="20"/>
              <w:jc w:val="right"/>
            </w:pPr>
            <w:r>
              <w:rPr>
                <w:rFonts w:ascii="Calibri" w:hAnsi="Calibri"/>
                <w:b w:val="0"/>
                <w:i w:val="0"/>
                <w:color w:val="2B2F38"/>
                <w:sz w:val="18"/>
              </w:rPr>
              <w:t>$12.7M</w:t>
            </w:r>
          </w:p>
        </w:tc>
      </w:tr>
      <w:tr>
        <w:tc>
          <w:tcPr>
            <w:tcW w:type="dxa" w:w="3041"/>
            <w:shd w:val="clear" w:color="auto" w:fill="F5F7F9"/>
          </w:tcPr>
          <w:p>
            <w:pPr>
              <w:spacing w:after="20"/>
            </w:pPr>
            <w:r>
              <w:rPr>
                <w:rFonts w:ascii="Calibri" w:hAnsi="Calibri"/>
                <w:b w:val="0"/>
                <w:i w:val="0"/>
                <w:color w:val="2B2F38"/>
                <w:sz w:val="18"/>
              </w:rPr>
              <w:t>HoneyNest Mega</w:t>
            </w:r>
          </w:p>
        </w:tc>
        <w:tc>
          <w:tcPr>
            <w:tcW w:type="dxa" w:w="1521"/>
            <w:shd w:val="clear" w:color="auto" w:fill="F5F7F9"/>
          </w:tcPr>
          <w:p>
            <w:pPr>
              <w:spacing w:after="20"/>
            </w:pPr>
            <w:r>
              <w:rPr>
                <w:rFonts w:ascii="Calibri" w:hAnsi="Calibri"/>
                <w:b w:val="0"/>
                <w:i w:val="0"/>
                <w:color w:val="2B2F38"/>
                <w:sz w:val="18"/>
              </w:rPr>
              <w:t>HoneyNest</w:t>
            </w:r>
          </w:p>
        </w:tc>
        <w:tc>
          <w:tcPr>
            <w:tcW w:type="dxa" w:w="1140"/>
            <w:shd w:val="clear" w:color="auto" w:fill="F5F7F9"/>
          </w:tcPr>
          <w:p>
            <w:pPr>
              <w:spacing w:after="20"/>
              <w:jc w:val="right"/>
            </w:pPr>
            <w:r>
              <w:rPr>
                <w:rFonts w:ascii="Calibri" w:hAnsi="Calibri"/>
                <w:b w:val="0"/>
                <w:i w:val="0"/>
                <w:color w:val="2B2F38"/>
                <w:sz w:val="18"/>
              </w:rPr>
              <w:t>16oz</w:t>
            </w:r>
          </w:p>
        </w:tc>
        <w:tc>
          <w:tcPr>
            <w:tcW w:type="dxa" w:w="1331"/>
            <w:shd w:val="clear" w:color="auto" w:fill="F5F7F9"/>
          </w:tcPr>
          <w:p>
            <w:pPr>
              <w:spacing w:after="20"/>
              <w:jc w:val="right"/>
            </w:pPr>
            <w:r>
              <w:rPr>
                <w:rFonts w:ascii="Calibri" w:hAnsi="Calibri"/>
                <w:b w:val="0"/>
                <w:i w:val="0"/>
                <w:color w:val="2B2F38"/>
                <w:sz w:val="18"/>
              </w:rPr>
              <w:t>$5.39</w:t>
            </w:r>
          </w:p>
        </w:tc>
        <w:tc>
          <w:tcPr>
            <w:tcW w:type="dxa" w:w="1140"/>
            <w:shd w:val="clear" w:color="auto" w:fill="F5F7F9"/>
          </w:tcPr>
          <w:p>
            <w:pPr>
              <w:spacing w:after="20"/>
              <w:jc w:val="right"/>
            </w:pPr>
            <w:r>
              <w:rPr>
                <w:rFonts w:ascii="Calibri" w:hAnsi="Calibri"/>
                <w:b w:val="0"/>
                <w:i w:val="0"/>
                <w:color w:val="2B2F38"/>
                <w:sz w:val="18"/>
              </w:rPr>
              <w:t>$0.34</w:t>
            </w:r>
          </w:p>
        </w:tc>
        <w:tc>
          <w:tcPr>
            <w:tcW w:type="dxa" w:w="1331"/>
            <w:shd w:val="clear" w:color="auto" w:fill="F5F7F9"/>
          </w:tcPr>
          <w:p>
            <w:pPr>
              <w:spacing w:after="20"/>
              <w:jc w:val="right"/>
            </w:pPr>
            <w:r>
              <w:rPr>
                <w:rFonts w:ascii="Calibri" w:hAnsi="Calibri"/>
                <w:b w:val="0"/>
                <w:i w:val="0"/>
                <w:color w:val="2B2F38"/>
                <w:sz w:val="18"/>
              </w:rPr>
              <w:t>$12.4M</w:t>
            </w:r>
          </w:p>
        </w:tc>
      </w:tr>
      <w:tr>
        <w:tc>
          <w:tcPr>
            <w:tcW w:type="dxa" w:w="3041"/>
            <w:shd w:val="clear" w:color="auto" w:fill="FFFFFF"/>
          </w:tcPr>
          <w:p>
            <w:pPr>
              <w:spacing w:after="20"/>
            </w:pPr>
            <w:r>
              <w:rPr>
                <w:rFonts w:ascii="Calibri" w:hAnsi="Calibri"/>
                <w:b w:val="0"/>
                <w:i w:val="0"/>
                <w:color w:val="2B2F38"/>
                <w:sz w:val="18"/>
              </w:rPr>
              <w:t>RootDay Oat Milk Vanilla</w:t>
            </w:r>
          </w:p>
        </w:tc>
        <w:tc>
          <w:tcPr>
            <w:tcW w:type="dxa" w:w="1521"/>
            <w:shd w:val="clear" w:color="auto" w:fill="FFFFFF"/>
          </w:tcPr>
          <w:p>
            <w:pPr>
              <w:spacing w:after="20"/>
            </w:pPr>
            <w:r>
              <w:rPr>
                <w:rFonts w:ascii="Calibri" w:hAnsi="Calibri"/>
                <w:b w:val="0"/>
                <w:i w:val="0"/>
                <w:color w:val="2B2F38"/>
                <w:sz w:val="18"/>
              </w:rPr>
              <w:t>RootDay</w:t>
            </w:r>
          </w:p>
        </w:tc>
        <w:tc>
          <w:tcPr>
            <w:tcW w:type="dxa" w:w="1140"/>
            <w:shd w:val="clear" w:color="auto" w:fill="FFFFFF"/>
          </w:tcPr>
          <w:p>
            <w:pPr>
              <w:spacing w:after="20"/>
              <w:jc w:val="right"/>
            </w:pPr>
            <w:r>
              <w:rPr>
                <w:rFonts w:ascii="Calibri" w:hAnsi="Calibri"/>
                <w:b w:val="0"/>
                <w:i w:val="0"/>
                <w:color w:val="2B2F38"/>
                <w:sz w:val="18"/>
              </w:rPr>
              <w:t>32oz</w:t>
            </w:r>
          </w:p>
        </w:tc>
        <w:tc>
          <w:tcPr>
            <w:tcW w:type="dxa" w:w="1331"/>
            <w:shd w:val="clear" w:color="auto" w:fill="FFFFFF"/>
          </w:tcPr>
          <w:p>
            <w:pPr>
              <w:spacing w:after="20"/>
              <w:jc w:val="right"/>
            </w:pPr>
            <w:r>
              <w:rPr>
                <w:rFonts w:ascii="Calibri" w:hAnsi="Calibri"/>
                <w:b w:val="0"/>
                <w:i w:val="0"/>
                <w:color w:val="2B2F38"/>
                <w:sz w:val="18"/>
              </w:rPr>
              <w:t>$4.99</w:t>
            </w:r>
          </w:p>
        </w:tc>
        <w:tc>
          <w:tcPr>
            <w:tcW w:type="dxa" w:w="1140"/>
            <w:shd w:val="clear" w:color="auto" w:fill="FFFFFF"/>
          </w:tcPr>
          <w:p>
            <w:pPr>
              <w:spacing w:after="20"/>
              <w:jc w:val="right"/>
            </w:pPr>
            <w:r>
              <w:rPr>
                <w:rFonts w:ascii="Calibri" w:hAnsi="Calibri"/>
                <w:b w:val="0"/>
                <w:i w:val="0"/>
                <w:color w:val="2B2F38"/>
                <w:sz w:val="18"/>
              </w:rPr>
              <w:t>$0.16</w:t>
            </w:r>
          </w:p>
        </w:tc>
        <w:tc>
          <w:tcPr>
            <w:tcW w:type="dxa" w:w="1331"/>
            <w:shd w:val="clear" w:color="auto" w:fill="FFFFFF"/>
          </w:tcPr>
          <w:p>
            <w:pPr>
              <w:spacing w:after="20"/>
              <w:jc w:val="right"/>
            </w:pPr>
            <w:r>
              <w:rPr>
                <w:rFonts w:ascii="Calibri" w:hAnsi="Calibri"/>
                <w:b w:val="0"/>
                <w:i w:val="0"/>
                <w:color w:val="2B2F38"/>
                <w:sz w:val="18"/>
              </w:rPr>
              <w:t>$8.4M</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seeds/skus.csv, packs of 14oz and above.</w:t>
      </w:r>
    </w:p>
    <w:p>
      <w:pPr>
        <w:keepNext/>
        <w:spacing w:after="40" w:before="240" w:line="274" w:lineRule="auto"/>
      </w:pPr>
      <w:r>
        <w:rPr>
          <w:rFonts w:ascii="Calibri" w:hAnsi="Calibri"/>
          <w:b/>
          <w:i w:val="0"/>
          <w:color w:val="2E7D75"/>
          <w:sz w:val="18"/>
        </w:rPr>
        <w:t>FY27 PLAN</w:t>
      </w:r>
    </w:p>
    <w:p>
      <w:pPr>
        <w:keepNext/>
        <w:spacing w:after="100" w:before="0" w:line="274" w:lineRule="auto"/>
      </w:pPr>
      <w:r>
        <w:rPr>
          <w:rFonts w:ascii="Calibri" w:hAnsi="Calibri"/>
          <w:b/>
          <w:i w:val="0"/>
          <w:color w:val="1F2A44"/>
          <w:sz w:val="31"/>
        </w:rPr>
        <w:t>4 · What we do in each account</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1331"/>
        <w:gridCol w:w="3041"/>
        <w:gridCol w:w="2851"/>
        <w:gridCol w:w="2281"/>
      </w:tblGrid>
      <w:tr>
        <w:tc>
          <w:tcPr>
            <w:tcW w:type="dxa" w:w="1331"/>
            <w:shd w:val="clear" w:color="auto" w:fill="1F2A44"/>
          </w:tcPr>
          <w:p>
            <w:pPr>
              <w:spacing w:after="20"/>
            </w:pPr>
            <w:r>
              <w:rPr>
                <w:rFonts w:ascii="Calibri" w:hAnsi="Calibri"/>
                <w:b/>
                <w:i w:val="0"/>
                <w:color w:val="FFFFFF"/>
                <w:sz w:val="17"/>
              </w:rPr>
              <w:t>Account</w:t>
            </w:r>
          </w:p>
        </w:tc>
        <w:tc>
          <w:tcPr>
            <w:tcW w:type="dxa" w:w="3041"/>
            <w:shd w:val="clear" w:color="auto" w:fill="1F2A44"/>
          </w:tcPr>
          <w:p>
            <w:pPr>
              <w:spacing w:after="20"/>
            </w:pPr>
            <w:r>
              <w:rPr>
                <w:rFonts w:ascii="Calibri" w:hAnsi="Calibri"/>
                <w:b/>
                <w:i w:val="0"/>
                <w:color w:val="FFFFFF"/>
                <w:sz w:val="17"/>
              </w:rPr>
              <w:t>FY27 priority</w:t>
            </w:r>
          </w:p>
        </w:tc>
        <w:tc>
          <w:tcPr>
            <w:tcW w:type="dxa" w:w="2851"/>
            <w:shd w:val="clear" w:color="auto" w:fill="1F2A44"/>
          </w:tcPr>
          <w:p>
            <w:pPr>
              <w:spacing w:after="20"/>
            </w:pPr>
            <w:r>
              <w:rPr>
                <w:rFonts w:ascii="Calibri" w:hAnsi="Calibri"/>
                <w:b/>
                <w:i w:val="0"/>
                <w:color w:val="FFFFFF"/>
                <w:sz w:val="17"/>
              </w:rPr>
              <w:t>What we ask for</w:t>
            </w:r>
          </w:p>
        </w:tc>
        <w:tc>
          <w:tcPr>
            <w:tcW w:type="dxa" w:w="2281"/>
            <w:shd w:val="clear" w:color="auto" w:fill="1F2A44"/>
          </w:tcPr>
          <w:p>
            <w:pPr>
              <w:spacing w:after="20"/>
            </w:pPr>
            <w:r>
              <w:rPr>
                <w:rFonts w:ascii="Calibri" w:hAnsi="Calibri"/>
                <w:b/>
                <w:i w:val="0"/>
                <w:color w:val="FFFFFF"/>
                <w:sz w:val="17"/>
              </w:rPr>
              <w:t>Risk</w:t>
            </w:r>
          </w:p>
        </w:tc>
      </w:tr>
      <w:tr>
        <w:tc>
          <w:tcPr>
            <w:tcW w:type="dxa" w:w="1331"/>
            <w:shd w:val="clear" w:color="auto" w:fill="FFFFFF"/>
          </w:tcPr>
          <w:p>
            <w:pPr>
              <w:spacing w:after="20"/>
            </w:pPr>
            <w:r>
              <w:rPr>
                <w:rFonts w:ascii="Calibri" w:hAnsi="Calibri"/>
                <w:b w:val="0"/>
                <w:i w:val="0"/>
                <w:color w:val="2B2F38"/>
                <w:sz w:val="18"/>
              </w:rPr>
              <w:t>Costco</w:t>
            </w:r>
          </w:p>
        </w:tc>
        <w:tc>
          <w:tcPr>
            <w:tcW w:type="dxa" w:w="3041"/>
            <w:shd w:val="clear" w:color="auto" w:fill="FFFFFF"/>
          </w:tcPr>
          <w:p>
            <w:pPr>
              <w:spacing w:after="20"/>
            </w:pPr>
            <w:r>
              <w:rPr>
                <w:rFonts w:ascii="Calibri" w:hAnsi="Calibri"/>
                <w:b w:val="0"/>
                <w:i w:val="0"/>
                <w:color w:val="2B2F38"/>
                <w:sz w:val="18"/>
              </w:rPr>
              <w:t>Club-first launch of the 36oz Mega Family Pack at a defended price</w:t>
            </w:r>
          </w:p>
        </w:tc>
        <w:tc>
          <w:tcPr>
            <w:tcW w:type="dxa" w:w="2851"/>
            <w:shd w:val="clear" w:color="auto" w:fill="FFFFFF"/>
          </w:tcPr>
          <w:p>
            <w:pPr>
              <w:spacing w:after="20"/>
            </w:pPr>
            <w:r>
              <w:rPr>
                <w:rFonts w:ascii="Calibri" w:hAnsi="Calibri"/>
                <w:b w:val="0"/>
                <w:i w:val="0"/>
                <w:color w:val="2B2F38"/>
                <w:sz w:val="18"/>
              </w:rPr>
              <w:t>One national item slot plus a road-show window</w:t>
            </w:r>
          </w:p>
        </w:tc>
        <w:tc>
          <w:tcPr>
            <w:tcW w:type="dxa" w:w="2281"/>
            <w:shd w:val="clear" w:color="auto" w:fill="FFFFFF"/>
          </w:tcPr>
          <w:p>
            <w:pPr>
              <w:spacing w:after="20"/>
            </w:pPr>
            <w:r>
              <w:rPr>
                <w:rFonts w:ascii="Calibri" w:hAnsi="Calibri"/>
                <w:b w:val="0"/>
                <w:i w:val="0"/>
                <w:color w:val="2B2F38"/>
                <w:sz w:val="18"/>
              </w:rPr>
              <w:t>Price-per-ounce anchor leaks into grocery</w:t>
            </w:r>
          </w:p>
        </w:tc>
      </w:tr>
      <w:tr>
        <w:tc>
          <w:tcPr>
            <w:tcW w:type="dxa" w:w="1331"/>
            <w:shd w:val="clear" w:color="auto" w:fill="F5F7F9"/>
          </w:tcPr>
          <w:p>
            <w:pPr>
              <w:spacing w:after="20"/>
            </w:pPr>
            <w:r>
              <w:rPr>
                <w:rFonts w:ascii="Calibri" w:hAnsi="Calibri"/>
                <w:b w:val="0"/>
                <w:i w:val="0"/>
                <w:color w:val="2B2F38"/>
                <w:sz w:val="18"/>
              </w:rPr>
              <w:t>Sam's Club</w:t>
            </w:r>
          </w:p>
        </w:tc>
        <w:tc>
          <w:tcPr>
            <w:tcW w:type="dxa" w:w="3041"/>
            <w:shd w:val="clear" w:color="auto" w:fill="F5F7F9"/>
          </w:tcPr>
          <w:p>
            <w:pPr>
              <w:spacing w:after="20"/>
            </w:pPr>
            <w:r>
              <w:rPr>
                <w:rFonts w:ascii="Calibri" w:hAnsi="Calibri"/>
                <w:b w:val="0"/>
                <w:i w:val="0"/>
                <w:color w:val="2B2F38"/>
                <w:sz w:val="18"/>
              </w:rPr>
              <w:t>ProteinPeak club multipack and a TrailGrove club item</w:t>
            </w:r>
          </w:p>
        </w:tc>
        <w:tc>
          <w:tcPr>
            <w:tcW w:type="dxa" w:w="2851"/>
            <w:shd w:val="clear" w:color="auto" w:fill="F5F7F9"/>
          </w:tcPr>
          <w:p>
            <w:pPr>
              <w:spacing w:after="20"/>
            </w:pPr>
            <w:r>
              <w:rPr>
                <w:rFonts w:ascii="Calibri" w:hAnsi="Calibri"/>
                <w:b w:val="0"/>
                <w:i w:val="0"/>
                <w:color w:val="2B2F38"/>
                <w:sz w:val="18"/>
              </w:rPr>
              <w:t>Two new items; club-exclusive pack graphics</w:t>
            </w:r>
          </w:p>
        </w:tc>
        <w:tc>
          <w:tcPr>
            <w:tcW w:type="dxa" w:w="2281"/>
            <w:shd w:val="clear" w:color="auto" w:fill="F5F7F9"/>
          </w:tcPr>
          <w:p>
            <w:pPr>
              <w:spacing w:after="20"/>
            </w:pPr>
            <w:r>
              <w:rPr>
                <w:rFonts w:ascii="Calibri" w:hAnsi="Calibri"/>
                <w:b w:val="0"/>
                <w:i w:val="0"/>
                <w:color w:val="2B2F38"/>
                <w:sz w:val="18"/>
              </w:rPr>
              <w:t>Cannibalisation of 12oz ProteinPeak at grocery</w:t>
            </w:r>
          </w:p>
        </w:tc>
      </w:tr>
      <w:tr>
        <w:tc>
          <w:tcPr>
            <w:tcW w:type="dxa" w:w="1331"/>
            <w:shd w:val="clear" w:color="auto" w:fill="FFFFFF"/>
          </w:tcPr>
          <w:p>
            <w:pPr>
              <w:spacing w:after="20"/>
            </w:pPr>
            <w:r>
              <w:rPr>
                <w:rFonts w:ascii="Calibri" w:hAnsi="Calibri"/>
                <w:b w:val="0"/>
                <w:i w:val="0"/>
                <w:color w:val="2B2F38"/>
                <w:sz w:val="18"/>
              </w:rPr>
              <w:t>Both</w:t>
            </w:r>
          </w:p>
        </w:tc>
        <w:tc>
          <w:tcPr>
            <w:tcW w:type="dxa" w:w="3041"/>
            <w:shd w:val="clear" w:color="auto" w:fill="FFFFFF"/>
          </w:tcPr>
          <w:p>
            <w:pPr>
              <w:spacing w:after="20"/>
            </w:pPr>
            <w:r>
              <w:rPr>
                <w:rFonts w:ascii="Calibri" w:hAnsi="Calibri"/>
                <w:b w:val="0"/>
                <w:i w:val="0"/>
                <w:color w:val="2B2F38"/>
                <w:sz w:val="18"/>
              </w:rPr>
              <w:t>Single-serve multipack test as the GLP-1 hedge</w:t>
            </w:r>
          </w:p>
        </w:tc>
        <w:tc>
          <w:tcPr>
            <w:tcW w:type="dxa" w:w="2851"/>
            <w:shd w:val="clear" w:color="auto" w:fill="FFFFFF"/>
          </w:tcPr>
          <w:p>
            <w:pPr>
              <w:spacing w:after="20"/>
            </w:pPr>
            <w:r>
              <w:rPr>
                <w:rFonts w:ascii="Calibri" w:hAnsi="Calibri"/>
                <w:b w:val="0"/>
                <w:i w:val="0"/>
                <w:color w:val="2B2F38"/>
                <w:sz w:val="18"/>
              </w:rPr>
              <w:t>Test-and-learn window in H2 FY27</w:t>
            </w:r>
          </w:p>
        </w:tc>
        <w:tc>
          <w:tcPr>
            <w:tcW w:type="dxa" w:w="2281"/>
            <w:shd w:val="clear" w:color="auto" w:fill="FFFFFF"/>
          </w:tcPr>
          <w:p>
            <w:pPr>
              <w:spacing w:after="20"/>
            </w:pPr>
            <w:r>
              <w:rPr>
                <w:rFonts w:ascii="Calibri" w:hAnsi="Calibri"/>
                <w:b w:val="0"/>
                <w:i w:val="0"/>
                <w:color w:val="2B2F38"/>
                <w:sz w:val="18"/>
              </w:rPr>
              <w:t>Low volume in year one</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seeds/innovation_pipeline.csv (36oz Mega Family, 2027-Q1); FY27 plan is the proposal.</w:t>
      </w:r>
    </w:p>
    <w:tbl>
      <w:tblPr>
        <w:tblW w:w="9504" w:type="dxa"/>
        <w:tblBorders>
          <w:top w:val="none"/>
          <w:left w:val="single" w:sz="24" w:color="B24A2E"/>
          <w:bottom w:val="none"/>
          <w:right w:val="none"/>
          <w:insideH w:val="none"/>
          <w:insideV w:val="none"/>
        </w:tblBorders>
        <w:tblLayout w:type="fixed"/>
        <w:tblCellMar>
          <w:top w:w="40" w:type="dxa"/>
          <w:left w:w="110" w:type="dxa"/>
          <w:bottom w:w="40" w:type="dxa"/>
          <w:right w:w="110" w:type="dxa"/>
        </w:tblCellMar>
        <w:tblLook w:firstColumn="1" w:firstRow="1" w:lastColumn="0" w:lastRow="0" w:noHBand="0" w:noVBand="1" w:val="04A0"/>
      </w:tblPr>
      <w:tblGrid>
        <w:gridCol w:w="9504"/>
      </w:tblGrid>
      <w:tr>
        <w:tc>
          <w:tcPr>
            <w:tcW w:type="dxa" w:w="9504"/>
            <w:shd w:val="clear" w:color="auto" w:fill="F5F7F9"/>
          </w:tcPr>
          <w:p>
            <w:pPr>
              <w:spacing w:after="40"/>
            </w:pPr>
            <w:r>
              <w:rPr>
                <w:rFonts w:ascii="Calibri" w:hAnsi="Calibri"/>
                <w:b/>
                <w:i w:val="0"/>
                <w:color w:val="1F2A44"/>
                <w:sz w:val="21"/>
              </w:rPr>
              <w:t>The one thing not to do</w:t>
            </w:r>
          </w:p>
          <w:p>
            <w:pPr>
              <w:spacing w:after="40" w:line="274" w:lineRule="auto"/>
            </w:pPr>
            <w:r>
              <w:rPr>
                <w:rFonts w:ascii="Calibri" w:hAnsi="Calibri"/>
                <w:b w:val="0"/>
                <w:i w:val="0"/>
                <w:color w:val="2B2F38"/>
                <w:sz w:val="20"/>
              </w:rPr>
              <w:t>Do not fund club growth with depth on the 18oz Mega. It is the most elastic pack in the portfolio at −1.84 to −2.12, and club pricing on it transmits to every grocery banner within a quarter. Grow the channel with new pack sizes, not with lower prices on existing ones.</w:t>
            </w:r>
          </w:p>
        </w:tc>
      </w:tr>
    </w:tbl>
    <w:p>
      <w:pPr>
        <w:keepNext w:val="0"/>
        <w:spacing w:after="80" w:before="0" w:line="274" w:lineRule="auto"/>
      </w:pPr>
    </w:p>
    <w:p>
      <w:pPr>
        <w:keepNext/>
        <w:spacing w:after="40" w:before="240" w:line="274" w:lineRule="auto"/>
      </w:pPr>
      <w:r>
        <w:rPr>
          <w:rFonts w:ascii="Calibri" w:hAnsi="Calibri"/>
          <w:b/>
          <w:i w:val="0"/>
          <w:color w:val="2E7D75"/>
          <w:sz w:val="18"/>
        </w:rPr>
        <w:t>CONTEXT</w:t>
      </w:r>
    </w:p>
    <w:p>
      <w:pPr>
        <w:keepNext/>
        <w:spacing w:after="100" w:before="0" w:line="274" w:lineRule="auto"/>
      </w:pPr>
      <w:r>
        <w:rPr>
          <w:rFonts w:ascii="Calibri" w:hAnsi="Calibri"/>
          <w:b/>
          <w:i w:val="0"/>
          <w:color w:val="1F2A44"/>
          <w:sz w:val="31"/>
        </w:rPr>
        <w:t>5 · The trends that bear on club</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231"/>
        <w:gridCol w:w="1331"/>
        <w:gridCol w:w="2281"/>
        <w:gridCol w:w="2661"/>
      </w:tblGrid>
      <w:tr>
        <w:tc>
          <w:tcPr>
            <w:tcW w:type="dxa" w:w="3231"/>
            <w:shd w:val="clear" w:color="auto" w:fill="1F2A44"/>
          </w:tcPr>
          <w:p>
            <w:pPr>
              <w:spacing w:after="20"/>
            </w:pPr>
            <w:r>
              <w:rPr>
                <w:rFonts w:ascii="Calibri" w:hAnsi="Calibri"/>
                <w:b/>
                <w:i w:val="0"/>
                <w:color w:val="FFFFFF"/>
                <w:sz w:val="17"/>
              </w:rPr>
              <w:t>Trend</w:t>
            </w:r>
          </w:p>
        </w:tc>
        <w:tc>
          <w:tcPr>
            <w:tcW w:type="dxa" w:w="1331"/>
            <w:shd w:val="clear" w:color="auto" w:fill="1F2A44"/>
          </w:tcPr>
          <w:p>
            <w:pPr>
              <w:spacing w:after="20"/>
              <w:jc w:val="right"/>
            </w:pPr>
            <w:r>
              <w:rPr>
                <w:rFonts w:ascii="Calibri" w:hAnsi="Calibri"/>
                <w:b/>
                <w:i w:val="0"/>
                <w:color w:val="FFFFFF"/>
                <w:sz w:val="17"/>
              </w:rPr>
              <w:t>Strength</w:t>
            </w:r>
          </w:p>
        </w:tc>
        <w:tc>
          <w:tcPr>
            <w:tcW w:type="dxa" w:w="2281"/>
            <w:shd w:val="clear" w:color="auto" w:fill="1F2A44"/>
          </w:tcPr>
          <w:p>
            <w:pPr>
              <w:spacing w:after="20"/>
              <w:jc w:val="right"/>
            </w:pPr>
            <w:r>
              <w:rPr>
                <w:rFonts w:ascii="Calibri" w:hAnsi="Calibri"/>
                <w:b/>
                <w:i w:val="0"/>
                <w:color w:val="FFFFFF"/>
                <w:sz w:val="17"/>
              </w:rPr>
              <w:t>Direction</w:t>
            </w:r>
          </w:p>
        </w:tc>
        <w:tc>
          <w:tcPr>
            <w:tcW w:type="dxa" w:w="2661"/>
            <w:shd w:val="clear" w:color="auto" w:fill="1F2A44"/>
          </w:tcPr>
          <w:p>
            <w:pPr>
              <w:spacing w:after="20"/>
              <w:jc w:val="right"/>
            </w:pPr>
            <w:r>
              <w:rPr>
                <w:rFonts w:ascii="Calibri" w:hAnsi="Calibri"/>
                <w:b/>
                <w:i w:val="0"/>
                <w:color w:val="FFFFFF"/>
                <w:sz w:val="17"/>
              </w:rPr>
              <w:t>Categories</w:t>
            </w:r>
          </w:p>
        </w:tc>
      </w:tr>
      <w:tr>
        <w:tc>
          <w:tcPr>
            <w:tcW w:type="dxa" w:w="3231"/>
            <w:shd w:val="clear" w:color="auto" w:fill="FFFFFF"/>
          </w:tcPr>
          <w:p>
            <w:pPr>
              <w:spacing w:after="20"/>
            </w:pPr>
            <w:r>
              <w:rPr>
                <w:rFonts w:ascii="Calibri" w:hAnsi="Calibri"/>
                <w:b w:val="0"/>
                <w:i w:val="0"/>
                <w:color w:val="2B2F38"/>
                <w:sz w:val="18"/>
              </w:rPr>
              <w:t>High-protein cereal</w:t>
            </w:r>
          </w:p>
        </w:tc>
        <w:tc>
          <w:tcPr>
            <w:tcW w:type="dxa" w:w="1331"/>
            <w:shd w:val="clear" w:color="auto" w:fill="FFFFFF"/>
          </w:tcPr>
          <w:p>
            <w:pPr>
              <w:spacing w:after="20"/>
              <w:jc w:val="right"/>
            </w:pPr>
            <w:r>
              <w:rPr>
                <w:rFonts w:ascii="Calibri" w:hAnsi="Calibri"/>
                <w:b w:val="0"/>
                <w:i w:val="0"/>
                <w:color w:val="2B2F38"/>
                <w:sz w:val="18"/>
              </w:rPr>
              <w:t>0.92</w:t>
            </w:r>
          </w:p>
        </w:tc>
        <w:tc>
          <w:tcPr>
            <w:tcW w:type="dxa" w:w="2281"/>
            <w:shd w:val="clear" w:color="auto" w:fill="FFFFFF"/>
          </w:tcPr>
          <w:p>
            <w:pPr>
              <w:spacing w:after="20"/>
              <w:jc w:val="right"/>
            </w:pPr>
            <w:r>
              <w:rPr>
                <w:rFonts w:ascii="Calibri" w:hAnsi="Calibri"/>
                <w:b w:val="0"/>
                <w:i w:val="0"/>
                <w:color w:val="2B2F38"/>
                <w:sz w:val="18"/>
              </w:rPr>
              <w:t>Up</w:t>
            </w:r>
          </w:p>
        </w:tc>
        <w:tc>
          <w:tcPr>
            <w:tcW w:type="dxa" w:w="2661"/>
            <w:shd w:val="clear" w:color="auto" w:fill="FFFFFF"/>
          </w:tcPr>
          <w:p>
            <w:pPr>
              <w:spacing w:after="20"/>
              <w:jc w:val="right"/>
            </w:pPr>
            <w:r>
              <w:rPr>
                <w:rFonts w:ascii="Calibri" w:hAnsi="Calibri"/>
                <w:b w:val="0"/>
                <w:i w:val="0"/>
                <w:color w:val="2B2F38"/>
                <w:sz w:val="18"/>
              </w:rPr>
              <w:t>RTE Cereal</w:t>
            </w:r>
          </w:p>
        </w:tc>
      </w:tr>
      <w:tr>
        <w:tc>
          <w:tcPr>
            <w:tcW w:type="dxa" w:w="3231"/>
            <w:shd w:val="clear" w:color="auto" w:fill="F5F7F9"/>
          </w:tcPr>
          <w:p>
            <w:pPr>
              <w:spacing w:after="20"/>
            </w:pPr>
            <w:r>
              <w:rPr>
                <w:rFonts w:ascii="Calibri" w:hAnsi="Calibri"/>
                <w:b w:val="0"/>
                <w:i w:val="0"/>
                <w:color w:val="2B2F38"/>
                <w:sz w:val="18"/>
              </w:rPr>
              <w:t>GLP-1 / Ozempic appetite shift</w:t>
            </w:r>
          </w:p>
        </w:tc>
        <w:tc>
          <w:tcPr>
            <w:tcW w:type="dxa" w:w="1331"/>
            <w:shd w:val="clear" w:color="auto" w:fill="F5F7F9"/>
          </w:tcPr>
          <w:p>
            <w:pPr>
              <w:spacing w:after="20"/>
              <w:jc w:val="right"/>
            </w:pPr>
            <w:r>
              <w:rPr>
                <w:rFonts w:ascii="Calibri" w:hAnsi="Calibri"/>
                <w:b w:val="0"/>
                <w:i w:val="0"/>
                <w:color w:val="2B2F38"/>
                <w:sz w:val="18"/>
              </w:rPr>
              <w:t>0.81</w:t>
            </w:r>
          </w:p>
        </w:tc>
        <w:tc>
          <w:tcPr>
            <w:tcW w:type="dxa" w:w="2281"/>
            <w:shd w:val="clear" w:color="auto" w:fill="F5F7F9"/>
          </w:tcPr>
          <w:p>
            <w:pPr>
              <w:spacing w:after="20"/>
              <w:jc w:val="right"/>
            </w:pPr>
            <w:r>
              <w:rPr>
                <w:rFonts w:ascii="Calibri" w:hAnsi="Calibri"/>
                <w:b w:val="0"/>
                <w:i w:val="0"/>
                <w:color w:val="2B2F38"/>
                <w:sz w:val="18"/>
              </w:rPr>
              <w:t>Down (volume impact)</w:t>
            </w:r>
          </w:p>
        </w:tc>
        <w:tc>
          <w:tcPr>
            <w:tcW w:type="dxa" w:w="2661"/>
            <w:shd w:val="clear" w:color="auto" w:fill="F5F7F9"/>
          </w:tcPr>
          <w:p>
            <w:pPr>
              <w:spacing w:after="20"/>
              <w:jc w:val="right"/>
            </w:pPr>
            <w:r>
              <w:rPr>
                <w:rFonts w:ascii="Calibri" w:hAnsi="Calibri"/>
                <w:b w:val="0"/>
                <w:i w:val="0"/>
                <w:color w:val="2B2F38"/>
                <w:sz w:val="18"/>
              </w:rPr>
              <w:t>RTE Cereal+Bar+Hot Cereal</w:t>
            </w:r>
          </w:p>
        </w:tc>
      </w:tr>
      <w:tr>
        <w:tc>
          <w:tcPr>
            <w:tcW w:type="dxa" w:w="3231"/>
            <w:shd w:val="clear" w:color="auto" w:fill="FFFFFF"/>
          </w:tcPr>
          <w:p>
            <w:pPr>
              <w:spacing w:after="20"/>
            </w:pPr>
            <w:r>
              <w:rPr>
                <w:rFonts w:ascii="Calibri" w:hAnsi="Calibri"/>
                <w:b w:val="0"/>
                <w:i w:val="0"/>
                <w:color w:val="2B2F38"/>
                <w:sz w:val="18"/>
              </w:rPr>
              <w:t>Sustainable packaging</w:t>
            </w:r>
          </w:p>
        </w:tc>
        <w:tc>
          <w:tcPr>
            <w:tcW w:type="dxa" w:w="1331"/>
            <w:shd w:val="clear" w:color="auto" w:fill="FFFFFF"/>
          </w:tcPr>
          <w:p>
            <w:pPr>
              <w:spacing w:after="20"/>
              <w:jc w:val="right"/>
            </w:pPr>
            <w:r>
              <w:rPr>
                <w:rFonts w:ascii="Calibri" w:hAnsi="Calibri"/>
                <w:b w:val="0"/>
                <w:i w:val="0"/>
                <w:color w:val="2B2F38"/>
                <w:sz w:val="18"/>
              </w:rPr>
              <w:t>0.74</w:t>
            </w:r>
          </w:p>
        </w:tc>
        <w:tc>
          <w:tcPr>
            <w:tcW w:type="dxa" w:w="2281"/>
            <w:shd w:val="clear" w:color="auto" w:fill="FFFFFF"/>
          </w:tcPr>
          <w:p>
            <w:pPr>
              <w:spacing w:after="20"/>
              <w:jc w:val="right"/>
            </w:pPr>
            <w:r>
              <w:rPr>
                <w:rFonts w:ascii="Calibri" w:hAnsi="Calibri"/>
                <w:b w:val="0"/>
                <w:i w:val="0"/>
                <w:color w:val="2B2F38"/>
                <w:sz w:val="18"/>
              </w:rPr>
              <w:t>Up</w:t>
            </w:r>
          </w:p>
        </w:tc>
        <w:tc>
          <w:tcPr>
            <w:tcW w:type="dxa" w:w="2661"/>
            <w:shd w:val="clear" w:color="auto" w:fill="FFFFFF"/>
          </w:tcPr>
          <w:p>
            <w:pPr>
              <w:spacing w:after="20"/>
              <w:jc w:val="right"/>
            </w:pPr>
            <w:r>
              <w:rPr>
                <w:rFonts w:ascii="Calibri" w:hAnsi="Calibri"/>
                <w:b w:val="0"/>
                <w:i w:val="0"/>
                <w:color w:val="2B2F38"/>
                <w:sz w:val="18"/>
              </w:rPr>
              <w:t>All Categories</w:t>
            </w:r>
          </w:p>
        </w:tc>
      </w:tr>
      <w:tr>
        <w:tc>
          <w:tcPr>
            <w:tcW w:type="dxa" w:w="3231"/>
            <w:shd w:val="clear" w:color="auto" w:fill="F5F7F9"/>
          </w:tcPr>
          <w:p>
            <w:pPr>
              <w:spacing w:after="20"/>
            </w:pPr>
            <w:r>
              <w:rPr>
                <w:rFonts w:ascii="Calibri" w:hAnsi="Calibri"/>
                <w:b w:val="0"/>
                <w:i w:val="0"/>
                <w:color w:val="2B2F38"/>
                <w:sz w:val="18"/>
              </w:rPr>
              <w:t>Limited-time offers (LTO) acceleration</w:t>
            </w:r>
          </w:p>
        </w:tc>
        <w:tc>
          <w:tcPr>
            <w:tcW w:type="dxa" w:w="1331"/>
            <w:shd w:val="clear" w:color="auto" w:fill="F5F7F9"/>
          </w:tcPr>
          <w:p>
            <w:pPr>
              <w:spacing w:after="20"/>
              <w:jc w:val="right"/>
            </w:pPr>
            <w:r>
              <w:rPr>
                <w:rFonts w:ascii="Calibri" w:hAnsi="Calibri"/>
                <w:b w:val="0"/>
                <w:i w:val="0"/>
                <w:color w:val="2B2F38"/>
                <w:sz w:val="18"/>
              </w:rPr>
              <w:t>0.74</w:t>
            </w:r>
          </w:p>
        </w:tc>
        <w:tc>
          <w:tcPr>
            <w:tcW w:type="dxa" w:w="2281"/>
            <w:shd w:val="clear" w:color="auto" w:fill="F5F7F9"/>
          </w:tcPr>
          <w:p>
            <w:pPr>
              <w:spacing w:after="20"/>
              <w:jc w:val="right"/>
            </w:pPr>
            <w:r>
              <w:rPr>
                <w:rFonts w:ascii="Calibri" w:hAnsi="Calibri"/>
                <w:b w:val="0"/>
                <w:i w:val="0"/>
                <w:color w:val="2B2F38"/>
                <w:sz w:val="18"/>
              </w:rPr>
              <w:t>Up</w:t>
            </w:r>
          </w:p>
        </w:tc>
        <w:tc>
          <w:tcPr>
            <w:tcW w:type="dxa" w:w="2661"/>
            <w:shd w:val="clear" w:color="auto" w:fill="F5F7F9"/>
          </w:tcPr>
          <w:p>
            <w:pPr>
              <w:spacing w:after="20"/>
              <w:jc w:val="right"/>
            </w:pPr>
            <w:r>
              <w:rPr>
                <w:rFonts w:ascii="Calibri" w:hAnsi="Calibri"/>
                <w:b w:val="0"/>
                <w:i w:val="0"/>
                <w:color w:val="2B2F38"/>
                <w:sz w:val="18"/>
              </w:rPr>
              <w:t>RTE Cereal+Granola+Bar</w:t>
            </w:r>
          </w:p>
        </w:tc>
      </w:tr>
      <w:tr>
        <w:tc>
          <w:tcPr>
            <w:tcW w:type="dxa" w:w="3231"/>
            <w:shd w:val="clear" w:color="auto" w:fill="FFFFFF"/>
          </w:tcPr>
          <w:p>
            <w:pPr>
              <w:spacing w:after="20"/>
            </w:pPr>
            <w:r>
              <w:rPr>
                <w:rFonts w:ascii="Calibri" w:hAnsi="Calibri"/>
                <w:b w:val="0"/>
                <w:i w:val="0"/>
                <w:color w:val="2B2F38"/>
                <w:sz w:val="18"/>
              </w:rPr>
              <w:t>Low-sugar reformulation pressure</w:t>
            </w:r>
          </w:p>
        </w:tc>
        <w:tc>
          <w:tcPr>
            <w:tcW w:type="dxa" w:w="1331"/>
            <w:shd w:val="clear" w:color="auto" w:fill="FFFFFF"/>
          </w:tcPr>
          <w:p>
            <w:pPr>
              <w:spacing w:after="20"/>
              <w:jc w:val="right"/>
            </w:pPr>
            <w:r>
              <w:rPr>
                <w:rFonts w:ascii="Calibri" w:hAnsi="Calibri"/>
                <w:b w:val="0"/>
                <w:i w:val="0"/>
                <w:color w:val="2B2F38"/>
                <w:sz w:val="18"/>
              </w:rPr>
              <w:t>0.72</w:t>
            </w:r>
          </w:p>
        </w:tc>
        <w:tc>
          <w:tcPr>
            <w:tcW w:type="dxa" w:w="2281"/>
            <w:shd w:val="clear" w:color="auto" w:fill="FFFFFF"/>
          </w:tcPr>
          <w:p>
            <w:pPr>
              <w:spacing w:after="20"/>
              <w:jc w:val="right"/>
            </w:pPr>
            <w:r>
              <w:rPr>
                <w:rFonts w:ascii="Calibri" w:hAnsi="Calibri"/>
                <w:b w:val="0"/>
                <w:i w:val="0"/>
                <w:color w:val="2B2F38"/>
                <w:sz w:val="18"/>
              </w:rPr>
              <w:t>Up</w:t>
            </w:r>
          </w:p>
        </w:tc>
        <w:tc>
          <w:tcPr>
            <w:tcW w:type="dxa" w:w="2661"/>
            <w:shd w:val="clear" w:color="auto" w:fill="FFFFFF"/>
          </w:tcPr>
          <w:p>
            <w:pPr>
              <w:spacing w:after="20"/>
              <w:jc w:val="right"/>
            </w:pPr>
            <w:r>
              <w:rPr>
                <w:rFonts w:ascii="Calibri" w:hAnsi="Calibri"/>
                <w:b w:val="0"/>
                <w:i w:val="0"/>
                <w:color w:val="2B2F38"/>
                <w:sz w:val="18"/>
              </w:rPr>
              <w:t>RTE Cereal+Granola</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seed_macro_trends, filtered to club-relevant trends.</w:t>
      </w:r>
    </w:p>
    <w:p>
      <w:pPr>
        <w:keepNext/>
        <w:spacing w:after="60" w:before="180" w:line="274" w:lineRule="auto"/>
      </w:pPr>
      <w:r>
        <w:rPr>
          <w:rFonts w:ascii="Calibri" w:hAnsi="Calibri"/>
          <w:b/>
          <w:i w:val="0"/>
          <w:color w:val="1F2A44"/>
          <w:sz w:val="23"/>
        </w:rPr>
        <w:t>Recommendations &amp; next steps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75"/>
        <w:gridCol w:w="5227"/>
        <w:gridCol w:w="2281"/>
        <w:gridCol w:w="1521"/>
      </w:tblGrid>
      <w:tr>
        <w:tc>
          <w:tcPr>
            <w:tcW w:type="dxa" w:w="475"/>
            <w:shd w:val="clear" w:color="auto" w:fill="1F2A44"/>
          </w:tcPr>
          <w:p>
            <w:pPr>
              <w:spacing w:after="20"/>
            </w:pPr>
            <w:r>
              <w:rPr>
                <w:rFonts w:ascii="Calibri" w:hAnsi="Calibri"/>
                <w:b/>
                <w:i w:val="0"/>
                <w:color w:val="FFFFFF"/>
                <w:sz w:val="18"/>
              </w:rPr>
              <w:t>#</w:t>
            </w:r>
          </w:p>
        </w:tc>
        <w:tc>
          <w:tcPr>
            <w:tcW w:type="dxa" w:w="5227"/>
            <w:shd w:val="clear" w:color="auto" w:fill="1F2A44"/>
          </w:tcPr>
          <w:p>
            <w:pPr>
              <w:spacing w:after="20"/>
            </w:pPr>
            <w:r>
              <w:rPr>
                <w:rFonts w:ascii="Calibri" w:hAnsi="Calibri"/>
                <w:b/>
                <w:i w:val="0"/>
                <w:color w:val="FFFFFF"/>
                <w:sz w:val="18"/>
              </w:rPr>
              <w:t>Action</w:t>
            </w:r>
          </w:p>
        </w:tc>
        <w:tc>
          <w:tcPr>
            <w:tcW w:type="dxa" w:w="2281"/>
            <w:shd w:val="clear" w:color="auto" w:fill="1F2A44"/>
          </w:tcPr>
          <w:p>
            <w:pPr>
              <w:spacing w:after="20"/>
            </w:pPr>
            <w:r>
              <w:rPr>
                <w:rFonts w:ascii="Calibri" w:hAnsi="Calibri"/>
                <w:b/>
                <w:i w:val="0"/>
                <w:color w:val="FFFFFF"/>
                <w:sz w:val="18"/>
              </w:rPr>
              <w:t>Owner</w:t>
            </w:r>
          </w:p>
        </w:tc>
        <w:tc>
          <w:tcPr>
            <w:tcW w:type="dxa" w:w="1521"/>
            <w:shd w:val="clear" w:color="auto" w:fill="1F2A44"/>
          </w:tcPr>
          <w:p>
            <w:pPr>
              <w:spacing w:after="20"/>
              <w:jc w:val="right"/>
            </w:pPr>
            <w:r>
              <w:rPr>
                <w:rFonts w:ascii="Calibri" w:hAnsi="Calibri"/>
                <w:b/>
                <w:i w:val="0"/>
                <w:color w:val="FFFFFF"/>
                <w:sz w:val="18"/>
              </w:rPr>
              <w:t>When</w:t>
            </w:r>
          </w:p>
        </w:tc>
      </w:tr>
      <w:tr>
        <w:tc>
          <w:tcPr>
            <w:tcW w:type="dxa" w:w="475"/>
            <w:shd w:val="clear" w:color="auto" w:fill="FFFFFF"/>
          </w:tcPr>
          <w:p>
            <w:pPr>
              <w:spacing w:after="20"/>
            </w:pPr>
            <w:r>
              <w:rPr>
                <w:rFonts w:ascii="Calibri" w:hAnsi="Calibri"/>
                <w:b w:val="0"/>
                <w:i w:val="0"/>
                <w:color w:val="2B2F38"/>
                <w:sz w:val="19"/>
              </w:rPr>
              <w:t>1</w:t>
            </w:r>
          </w:p>
        </w:tc>
        <w:tc>
          <w:tcPr>
            <w:tcW w:type="dxa" w:w="5227"/>
            <w:shd w:val="clear" w:color="auto" w:fill="FFFFFF"/>
          </w:tcPr>
          <w:p>
            <w:pPr>
              <w:spacing w:after="20"/>
            </w:pPr>
            <w:r>
              <w:rPr>
                <w:rFonts w:ascii="Calibri" w:hAnsi="Calibri"/>
                <w:b w:val="0"/>
                <w:i w:val="0"/>
                <w:color w:val="2B2F38"/>
                <w:sz w:val="19"/>
              </w:rPr>
              <w:t>Position the 36oz Mega Family Pack as a club-first launch at a defended $8.99</w:t>
            </w:r>
          </w:p>
        </w:tc>
        <w:tc>
          <w:tcPr>
            <w:tcW w:type="dxa" w:w="2281"/>
            <w:shd w:val="clear" w:color="auto" w:fill="FFFFFF"/>
          </w:tcPr>
          <w:p>
            <w:pPr>
              <w:spacing w:after="20"/>
            </w:pPr>
            <w:r>
              <w:rPr>
                <w:rFonts w:ascii="Calibri" w:hAnsi="Calibri"/>
                <w:b w:val="0"/>
                <w:i w:val="0"/>
                <w:color w:val="2B2F38"/>
                <w:sz w:val="19"/>
              </w:rPr>
              <w:t>Club Sales / RGM Lead</w:t>
            </w:r>
          </w:p>
        </w:tc>
        <w:tc>
          <w:tcPr>
            <w:tcW w:type="dxa" w:w="1521"/>
            <w:shd w:val="clear" w:color="auto" w:fill="FFFFFF"/>
          </w:tcPr>
          <w:p>
            <w:pPr>
              <w:spacing w:after="20"/>
              <w:jc w:val="right"/>
            </w:pPr>
            <w:r>
              <w:rPr>
                <w:rFonts w:ascii="Calibri" w:hAnsi="Calibri"/>
                <w:b w:val="0"/>
                <w:i w:val="0"/>
                <w:color w:val="2B2F38"/>
                <w:sz w:val="19"/>
              </w:rPr>
              <w:t>Q4 FY26 gate</w:t>
            </w:r>
          </w:p>
        </w:tc>
      </w:tr>
      <w:tr>
        <w:tc>
          <w:tcPr>
            <w:tcW w:type="dxa" w:w="475"/>
            <w:shd w:val="clear" w:color="auto" w:fill="F5F7F9"/>
          </w:tcPr>
          <w:p>
            <w:pPr>
              <w:spacing w:after="20"/>
            </w:pPr>
            <w:r>
              <w:rPr>
                <w:rFonts w:ascii="Calibri" w:hAnsi="Calibri"/>
                <w:b w:val="0"/>
                <w:i w:val="0"/>
                <w:color w:val="2B2F38"/>
                <w:sz w:val="19"/>
              </w:rPr>
              <w:t>2</w:t>
            </w:r>
          </w:p>
        </w:tc>
        <w:tc>
          <w:tcPr>
            <w:tcW w:type="dxa" w:w="5227"/>
            <w:shd w:val="clear" w:color="auto" w:fill="F5F7F9"/>
          </w:tcPr>
          <w:p>
            <w:pPr>
              <w:spacing w:after="20"/>
            </w:pPr>
            <w:r>
              <w:rPr>
                <w:rFonts w:ascii="Calibri" w:hAnsi="Calibri"/>
                <w:b w:val="0"/>
                <w:i w:val="0"/>
                <w:color w:val="2B2F38"/>
                <w:sz w:val="19"/>
              </w:rPr>
              <w:t>Develop a ProteinPeak club multipack for Sam's FY27 review</w:t>
            </w:r>
          </w:p>
        </w:tc>
        <w:tc>
          <w:tcPr>
            <w:tcW w:type="dxa" w:w="2281"/>
            <w:shd w:val="clear" w:color="auto" w:fill="F5F7F9"/>
          </w:tcPr>
          <w:p>
            <w:pPr>
              <w:spacing w:after="20"/>
            </w:pPr>
            <w:r>
              <w:rPr>
                <w:rFonts w:ascii="Calibri" w:hAnsi="Calibri"/>
                <w:b w:val="0"/>
                <w:i w:val="0"/>
                <w:color w:val="2B2F38"/>
                <w:sz w:val="19"/>
              </w:rPr>
              <w:t>Sage Park / Club Sales</w:t>
            </w:r>
          </w:p>
        </w:tc>
        <w:tc>
          <w:tcPr>
            <w:tcW w:type="dxa" w:w="1521"/>
            <w:shd w:val="clear" w:color="auto" w:fill="F5F7F9"/>
          </w:tcPr>
          <w:p>
            <w:pPr>
              <w:spacing w:after="20"/>
              <w:jc w:val="right"/>
            </w:pPr>
            <w:r>
              <w:rPr>
                <w:rFonts w:ascii="Calibri" w:hAnsi="Calibri"/>
                <w:b w:val="0"/>
                <w:i w:val="0"/>
                <w:color w:val="2B2F38"/>
                <w:sz w:val="19"/>
              </w:rPr>
              <w:t>By Q1 FY27</w:t>
            </w:r>
          </w:p>
        </w:tc>
      </w:tr>
      <w:tr>
        <w:tc>
          <w:tcPr>
            <w:tcW w:type="dxa" w:w="475"/>
            <w:shd w:val="clear" w:color="auto" w:fill="FFFFFF"/>
          </w:tcPr>
          <w:p>
            <w:pPr>
              <w:spacing w:after="20"/>
            </w:pPr>
            <w:r>
              <w:rPr>
                <w:rFonts w:ascii="Calibri" w:hAnsi="Calibri"/>
                <w:b w:val="0"/>
                <w:i w:val="0"/>
                <w:color w:val="2B2F38"/>
                <w:sz w:val="19"/>
              </w:rPr>
              <w:t>3</w:t>
            </w:r>
          </w:p>
        </w:tc>
        <w:tc>
          <w:tcPr>
            <w:tcW w:type="dxa" w:w="5227"/>
            <w:shd w:val="clear" w:color="auto" w:fill="FFFFFF"/>
          </w:tcPr>
          <w:p>
            <w:pPr>
              <w:spacing w:after="20"/>
            </w:pPr>
            <w:r>
              <w:rPr>
                <w:rFonts w:ascii="Calibri" w:hAnsi="Calibri"/>
                <w:b w:val="0"/>
                <w:i w:val="0"/>
                <w:color w:val="2B2F38"/>
                <w:sz w:val="19"/>
              </w:rPr>
              <w:t>Run a single-serve multipack test in H2 FY27 as the GLP-1 hedge</w:t>
            </w:r>
          </w:p>
        </w:tc>
        <w:tc>
          <w:tcPr>
            <w:tcW w:type="dxa" w:w="2281"/>
            <w:shd w:val="clear" w:color="auto" w:fill="FFFFFF"/>
          </w:tcPr>
          <w:p>
            <w:pPr>
              <w:spacing w:after="20"/>
            </w:pPr>
            <w:r>
              <w:rPr>
                <w:rFonts w:ascii="Calibri" w:hAnsi="Calibri"/>
                <w:b w:val="0"/>
                <w:i w:val="0"/>
                <w:color w:val="2B2F38"/>
                <w:sz w:val="19"/>
              </w:rPr>
              <w:t>Club Sales</w:t>
            </w:r>
          </w:p>
        </w:tc>
        <w:tc>
          <w:tcPr>
            <w:tcW w:type="dxa" w:w="1521"/>
            <w:shd w:val="clear" w:color="auto" w:fill="FFFFFF"/>
          </w:tcPr>
          <w:p>
            <w:pPr>
              <w:spacing w:after="20"/>
              <w:jc w:val="right"/>
            </w:pPr>
            <w:r>
              <w:rPr>
                <w:rFonts w:ascii="Calibri" w:hAnsi="Calibri"/>
                <w:b w:val="0"/>
                <w:i w:val="0"/>
                <w:color w:val="2B2F38"/>
                <w:sz w:val="19"/>
              </w:rPr>
              <w:t>H2 FY27</w:t>
            </w:r>
          </w:p>
        </w:tc>
      </w:tr>
      <w:tr>
        <w:tc>
          <w:tcPr>
            <w:tcW w:type="dxa" w:w="475"/>
            <w:shd w:val="clear" w:color="auto" w:fill="F5F7F9"/>
          </w:tcPr>
          <w:p>
            <w:pPr>
              <w:spacing w:after="20"/>
            </w:pPr>
            <w:r>
              <w:rPr>
                <w:rFonts w:ascii="Calibri" w:hAnsi="Calibri"/>
                <w:b w:val="0"/>
                <w:i w:val="0"/>
                <w:color w:val="2B2F38"/>
                <w:sz w:val="19"/>
              </w:rPr>
              <w:t>4</w:t>
            </w:r>
          </w:p>
        </w:tc>
        <w:tc>
          <w:tcPr>
            <w:tcW w:type="dxa" w:w="5227"/>
            <w:shd w:val="clear" w:color="auto" w:fill="F5F7F9"/>
          </w:tcPr>
          <w:p>
            <w:pPr>
              <w:spacing w:after="20"/>
            </w:pPr>
            <w:r>
              <w:rPr>
                <w:rFonts w:ascii="Calibri" w:hAnsi="Calibri"/>
                <w:b w:val="0"/>
                <w:i w:val="0"/>
                <w:color w:val="2B2F38"/>
                <w:sz w:val="19"/>
              </w:rPr>
              <w:t>Hold the no-depth rule on the 18oz Mega in club</w:t>
            </w:r>
          </w:p>
        </w:tc>
        <w:tc>
          <w:tcPr>
            <w:tcW w:type="dxa" w:w="2281"/>
            <w:shd w:val="clear" w:color="auto" w:fill="F5F7F9"/>
          </w:tcPr>
          <w:p>
            <w:pPr>
              <w:spacing w:after="20"/>
            </w:pPr>
            <w:r>
              <w:rPr>
                <w:rFonts w:ascii="Calibri" w:hAnsi="Calibri"/>
                <w:b w:val="0"/>
                <w:i w:val="0"/>
                <w:color w:val="2B2F38"/>
                <w:sz w:val="19"/>
              </w:rPr>
              <w:t>RGM Lead</w:t>
            </w:r>
          </w:p>
        </w:tc>
        <w:tc>
          <w:tcPr>
            <w:tcW w:type="dxa" w:w="1521"/>
            <w:shd w:val="clear" w:color="auto" w:fill="F5F7F9"/>
          </w:tcPr>
          <w:p>
            <w:pPr>
              <w:spacing w:after="20"/>
              <w:jc w:val="right"/>
            </w:pPr>
            <w:r>
              <w:rPr>
                <w:rFonts w:ascii="Calibri" w:hAnsi="Calibri"/>
                <w:b w:val="0"/>
                <w:i w:val="0"/>
                <w:color w:val="2B2F38"/>
                <w:sz w:val="19"/>
              </w:rPr>
              <w:t>FY27 policy</w:t>
            </w:r>
          </w:p>
        </w:tc>
      </w:tr>
      <w:tr>
        <w:tc>
          <w:tcPr>
            <w:tcW w:type="dxa" w:w="475"/>
            <w:shd w:val="clear" w:color="auto" w:fill="FFFFFF"/>
          </w:tcPr>
          <w:p>
            <w:pPr>
              <w:spacing w:after="20"/>
            </w:pPr>
            <w:r>
              <w:rPr>
                <w:rFonts w:ascii="Calibri" w:hAnsi="Calibri"/>
                <w:b w:val="0"/>
                <w:i w:val="0"/>
                <w:color w:val="2B2F38"/>
                <w:sz w:val="19"/>
              </w:rPr>
              <w:t>5</w:t>
            </w:r>
          </w:p>
        </w:tc>
        <w:tc>
          <w:tcPr>
            <w:tcW w:type="dxa" w:w="5227"/>
            <w:shd w:val="clear" w:color="auto" w:fill="FFFFFF"/>
          </w:tcPr>
          <w:p>
            <w:pPr>
              <w:spacing w:after="20"/>
            </w:pPr>
            <w:r>
              <w:rPr>
                <w:rFonts w:ascii="Calibri" w:hAnsi="Calibri"/>
                <w:b w:val="0"/>
                <w:i w:val="0"/>
                <w:color w:val="2B2F38"/>
                <w:sz w:val="19"/>
              </w:rPr>
              <w:t>Report club price-per-ounce against grocery quarterly to catch anchor leakage</w:t>
            </w:r>
          </w:p>
        </w:tc>
        <w:tc>
          <w:tcPr>
            <w:tcW w:type="dxa" w:w="2281"/>
            <w:shd w:val="clear" w:color="auto" w:fill="FFFFFF"/>
          </w:tcPr>
          <w:p>
            <w:pPr>
              <w:spacing w:after="20"/>
            </w:pPr>
            <w:r>
              <w:rPr>
                <w:rFonts w:ascii="Calibri" w:hAnsi="Calibri"/>
                <w:b w:val="0"/>
                <w:i w:val="0"/>
                <w:color w:val="2B2F38"/>
                <w:sz w:val="19"/>
              </w:rPr>
              <w:t>Trade Finance</w:t>
            </w:r>
          </w:p>
        </w:tc>
        <w:tc>
          <w:tcPr>
            <w:tcW w:type="dxa" w:w="1521"/>
            <w:shd w:val="clear" w:color="auto" w:fill="FFFFFF"/>
          </w:tcPr>
          <w:p>
            <w:pPr>
              <w:spacing w:after="20"/>
              <w:jc w:val="right"/>
            </w:pPr>
            <w:r>
              <w:rPr>
                <w:rFonts w:ascii="Calibri" w:hAnsi="Calibri"/>
                <w:b w:val="0"/>
                <w:i w:val="0"/>
                <w:color w:val="2B2F38"/>
                <w:sz w:val="19"/>
              </w:rPr>
              <w:t>Quarterly</w:t>
            </w:r>
          </w:p>
        </w:tc>
      </w:tr>
    </w:tbl>
    <w:p>
      <w:pPr>
        <w:keepNext w:val="0"/>
        <w:spacing w:after="60" w:before="0" w:line="274" w:lineRule="auto"/>
      </w:pP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Calibri" w:hAnsi="Calibri"/>
        <w:color w:val="5B6472"/>
        <w:sz w:val="15"/>
      </w:rPr>
      <w:t xml:space="preserve">Internal · Confidential — Acme Corp synthetic demo data. Fictional; not for real decision-making.     </w:t>
    </w:r>
    <w:r>
      <w:rPr>
        <w:rFonts w:ascii="Calibri" w:hAnsi="Calibri"/>
        <w:b/>
        <w:color w:val="5B6472"/>
        <w:sz w:val="15"/>
      </w:rPr>
      <w:t>Club FY27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2B2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 Channel FY2027 Strategy — Costco and Sam's</dc:title>
  <dc:subject/>
  <dc:creator>Acme Corp (synthetic)</dc:creator>
  <cp:keywords/>
  <dc:description>Internal channel strategy</dc:description>
  <cp:lastModifiedBy/>
  <cp:revision>1</cp:revision>
  <dcterms:created xsi:type="dcterms:W3CDTF">2013-12-23T23:15:00Z</dcterms:created>
  <dcterms:modified xsi:type="dcterms:W3CDTF">2013-12-23T23:15:00Z</dcterms:modified>
  <cp:category/>
</cp:coreProperties>
</file>