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1B2A4A"/>
          <w:sz w:val="44"/>
          <w:szCs w:val="44"/>
        </w:rPr>
        <w:t xml:space="preserve">HeirIQ — Claude Code Build Brief v5.0</w:t>
      </w:r>
    </w:p>
    <w:p>
      <w:pPr>
        <w:pBdr>
          <w:bottom w:val="single" w:color="B8860B" w:sz="18" w:space="6"/>
        </w:pBdr>
        <w:spacing w:after="240"/>
      </w:pPr>
      <w:r>
        <w:rPr>
          <w:i/>
          <w:iCs/>
          <w:color w:val="666666"/>
          <w:sz w:val="24"/>
          <w:szCs w:val="24"/>
        </w:rPr>
        <w:t xml:space="preserve">Translating the design spec into architecture, data model, calculation logic, and build sequence.</w:t>
      </w:r>
    </w:p>
    <w:p>
      <w:pPr>
        <w:spacing w:after="300"/>
      </w:pPr>
      <w:r>
        <w:rPr>
          <w:color w:val="666666"/>
          <w:sz w:val="20"/>
          <w:szCs w:val="20"/>
        </w:rPr>
        <w:t xml:space="preserve">v5 adds foreign-currency conversion (LB-10) to the calculation engine</w:t>
      </w:r>
    </w:p>
    <w:p>
      <w:pPr>
        <w:spacing w:after="160" w:line="288"/>
      </w:pPr>
      <w:r>
        <w:rPr>
          <w:i w:val="false"/>
          <w:iCs w:val="false"/>
          <w:color w:val="000000"/>
          <w:sz w:val="22"/>
          <w:szCs w:val="22"/>
        </w:rPr>
        <w:t xml:space="preserve">Translating the design spec into architecture, data model, calculation logic, and build sequence.</w:t>
      </w:r>
    </w:p>
    <w:p>
      <w:pPr>
        <w:spacing w:after="160" w:line="288"/>
      </w:pPr>
      <w:r>
        <w:rPr>
          <w:i/>
          <w:iCs/>
          <w:color w:val="666666"/>
          <w:sz w:val="22"/>
          <w:szCs w:val="22"/>
        </w:rPr>
        <w:t xml:space="preserve">v5 supersedes v4 — adds foreign-currency entry with BSP-rate conversion for Financial Accounts (LB-10). Legal Basis Appendix is now at v3.0 — see HeirIQ-Legal-Basis-Appendix-v1.md (filename retained, content updated).</w:t>
      </w:r>
    </w:p>
    <w:p>
      <w:pPr>
        <w:spacing w:after="80"/>
      </w:pPr>
    </w:p>
    <w:p>
      <w:pPr>
        <w:pStyle w:val="Heading1"/>
        <w:pBdr>
          <w:bottom w:val="single" w:color="1B2A4A" w:sz="12" w:space="4"/>
        </w:pBdr>
        <w:spacing w:after="200" w:before="360"/>
      </w:pPr>
      <w:r>
        <w:rPr>
          <w:b/>
          <w:bCs/>
          <w:color w:val="1B2A4A"/>
          <w:sz w:val="32"/>
          <w:szCs w:val="32"/>
        </w:rPr>
        <w:t xml:space="preserve">1. Architecture Decisions — unchanged from v2, one addition</w:t>
      </w:r>
    </w:p>
    <w:p>
      <w:pPr>
        <w:spacing w:after="160" w:line="288"/>
      </w:pPr>
      <w:r>
        <w:rPr>
          <w:i w:val="false"/>
          <w:iCs w:val="false"/>
          <w:color w:val="000000"/>
          <w:sz w:val="22"/>
          <w:szCs w:val="22"/>
        </w:rPr>
        <w:t xml:space="preserve">See v2 for the full table. New for v5: the "no data transmission before Touchpoint 2" architecture principle now has one narrow, disclosed exception — a currency-conversion rate lookup (Frankfurter API, §3.2b), which carries no personal data. Everything else in the original architecture table (framework, hosting, backend, access control, email sender, PDF generation, state persistence, analytics) is unchanged.</w:t>
      </w:r>
    </w:p>
    <w:p>
      <w:pPr>
        <w:spacing w:after="160" w:line="288"/>
      </w:pPr>
      <w:r>
        <w:rPr>
          <w:i w:val="false"/>
          <w:iCs w:val="false"/>
          <w:color w:val="000000"/>
          <w:sz w:val="22"/>
          <w:szCs w:val="22"/>
        </w:rPr>
        <w:t xml:space="preserve">See v2 for full table (framework, hosting, backend, access control, email sender, PDF generation, state persistence, analytics). No changes this revision.</w:t>
      </w:r>
    </w:p>
    <w:p>
      <w:pPr>
        <w:spacing w:after="80"/>
      </w:pPr>
    </w:p>
    <w:p>
      <w:pPr>
        <w:pStyle w:val="Heading1"/>
        <w:pBdr>
          <w:bottom w:val="single" w:color="1B2A4A" w:sz="12" w:space="4"/>
        </w:pBdr>
        <w:spacing w:after="200" w:before="360"/>
      </w:pPr>
      <w:r>
        <w:rPr>
          <w:b/>
          <w:bCs/>
          <w:color w:val="1B2A4A"/>
          <w:sz w:val="32"/>
          <w:szCs w:val="32"/>
        </w:rPr>
        <w:t xml:space="preserve">2. Data Model — Heirs and Assets Sections Updated</w:t>
      </w:r>
    </w:p>
    <w:p>
      <w:pPr>
        <w:pStyle w:val="Heading2"/>
        <w:spacing w:after="160" w:before="300"/>
      </w:pPr>
      <w:r>
        <w:rPr>
          <w:b/>
          <w:bCs/>
          <w:color w:val="1B2A4A"/>
          <w:sz w:val="26"/>
          <w:szCs w:val="26"/>
        </w:rPr>
        <w:t xml:space="preserve">2a. Heirs (updated for v4 — adds adoptedChildren)</w:t>
      </w:r>
    </w:p>
    <w:tbl>
      <w:tblPr>
        <w:tblW w:type="pct" w:w="100%"/>
        <w:tblBorders>
          <w:top w:val="single" w:color="D0D0D0" w:sz="4"/>
          <w:left w:val="single" w:color="D0D0D0" w:sz="4"/>
          <w:bottom w:val="single" w:color="D0D0D0" w:sz="4"/>
          <w:right w:val="single" w:color="D0D0D0" w:sz="4"/>
          <w:insideH w:val="single" w:color="D0D0D0" w:sz="4"/>
          <w:insideV w:val="single" w:color="D0D0D0" w:sz="4"/>
        </w:tblBorders>
      </w:tblPr>
      <w:tblGrid>
        <w:gridCol w:w="100"/>
      </w:tblGrid>
      <w:tr>
        <w:tc>
          <w:tcPr>
            <w:shd w:fill="F5F5F0" w:val="clear"/>
            <w:tcMar>
              <w:top w:type="dxa" w:w="120"/>
              <w:left w:type="dxa" w:w="160"/>
              <w:bottom w:type="dxa" w:w="120"/>
              <w:right w:type="dxa" w:w="160"/>
            </w:tcMar>
          </w:tcPr>
          <w:p>
            <w:pPr>
              <w:spacing w:after="20"/>
            </w:pPr>
            <w:r>
              <w:rPr>
                <w:rFonts w:ascii="Consolas" w:cs="Consolas" w:eastAsia="Consolas" w:hAnsi="Consolas"/>
                <w:color w:val="333333"/>
                <w:sz w:val="19"/>
                <w:szCs w:val="19"/>
              </w:rPr>
              <w:t xml:space="preserve">heirs: {</w:t>
            </w:r>
          </w:p>
          <w:p>
            <w:pPr>
              <w:spacing w:after="20"/>
            </w:pPr>
            <w:r>
              <w:rPr>
                <w:rFonts w:ascii="Consolas" w:cs="Consolas" w:eastAsia="Consolas" w:hAnsi="Consolas"/>
                <w:color w:val="333333"/>
                <w:sz w:val="19"/>
                <w:szCs w:val="19"/>
              </w:rPr>
              <w:t xml:space="preserve">  legitimateChildren: [{ id, label, birthOrder }],    // max 10</w:t>
            </w:r>
          </w:p>
          <w:p>
            <w:pPr>
              <w:spacing w:after="20"/>
            </w:pPr>
            <w:r>
              <w:rPr>
                <w:rFonts w:ascii="Consolas" w:cs="Consolas" w:eastAsia="Consolas" w:hAnsi="Consolas"/>
                <w:color w:val="333333"/>
                <w:sz w:val="19"/>
                <w:szCs w:val="19"/>
              </w:rPr>
              <w:t xml:space="preserve">  adoptedChildren: [{ id, label, birthOrder }],       // NEW, max 10 — LB-9, joins legitimateChildren's unit pool, see §3.6</w:t>
            </w:r>
          </w:p>
          <w:p>
            <w:pPr>
              <w:spacing w:after="20"/>
            </w:pPr>
            <w:r>
              <w:rPr>
                <w:rFonts w:ascii="Consolas" w:cs="Consolas" w:eastAsia="Consolas" w:hAnsi="Consolas"/>
                <w:color w:val="333333"/>
                <w:sz w:val="19"/>
                <w:szCs w:val="19"/>
              </w:rPr>
              <w:t xml:space="preserve">  illegitimateChildren: [{ id, label, birthOrder, biologicalParent: "self" | "spouse" | "both" }],  // LB-5</w:t>
            </w:r>
          </w:p>
          <w:p>
            <w:pPr>
              <w:spacing w:after="20"/>
            </w:pPr>
            <w:r>
              <w:rPr>
                <w:rFonts w:ascii="Consolas" w:cs="Consolas" w:eastAsia="Consolas" w:hAnsi="Consolas"/>
                <w:color w:val="333333"/>
                <w:sz w:val="19"/>
                <w:szCs w:val="19"/>
              </w:rPr>
              <w:t xml:space="preserve">  livingParents: bool,</w:t>
            </w:r>
          </w:p>
          <w:p>
            <w:pPr>
              <w:spacing w:after="20"/>
            </w:pPr>
            <w:r>
              <w:rPr>
                <w:rFonts w:ascii="Consolas" w:cs="Consolas" w:eastAsia="Consolas" w:hAnsi="Consolas"/>
                <w:color w:val="333333"/>
                <w:sz w:val="19"/>
                <w:szCs w:val="19"/>
              </w:rPr>
              <w:t xml:space="preserve">  hasPredeceasedChildWithDescendants: bool,</w:t>
            </w:r>
          </w:p>
          <w:p>
            <w:pPr>
              <w:spacing w:after="20"/>
            </w:pPr>
            <w:r>
              <w:rPr>
                <w:rFonts w:ascii="Consolas" w:cs="Consolas" w:eastAsia="Consolas" w:hAnsi="Consolas"/>
                <w:color w:val="333333"/>
                <w:sz w:val="19"/>
                <w:szCs w:val="19"/>
              </w:rPr>
              <w:t xml:space="preserve">  hasDisputedFiliationClaim: bool</w:t>
            </w:r>
          </w:p>
          <w:p>
            <w:pPr>
              <w:spacing w:after="20"/>
            </w:pPr>
            <w:r>
              <w:rPr>
                <w:rFonts w:ascii="Consolas" w:cs="Consolas" w:eastAsia="Consolas" w:hAnsi="Consolas"/>
                <w:color w:val="333333"/>
                <w:sz w:val="19"/>
                <w:szCs w:val="19"/>
              </w:rPr>
              <w:t xml:space="preserve">}</w:t>
            </w:r>
          </w:p>
        </w:tc>
      </w:tr>
    </w:tbl>
    <w:p>
      <w:pPr>
        <w:pStyle w:val="Heading2"/>
        <w:spacing w:after="160" w:before="300"/>
      </w:pPr>
      <w:r>
        <w:rPr>
          <w:b/>
          <w:bCs/>
          <w:color w:val="1B2A4A"/>
          <w:sz w:val="26"/>
          <w:szCs w:val="26"/>
        </w:rPr>
        <w:t xml:space="preserve">2b. Assets — unchanged from v3, see below</w:t>
      </w:r>
    </w:p>
    <w:tbl>
      <w:tblPr>
        <w:tblW w:type="pct" w:w="100%"/>
        <w:tblBorders>
          <w:top w:val="single" w:color="D0D0D0" w:sz="4"/>
          <w:left w:val="single" w:color="D0D0D0" w:sz="4"/>
          <w:bottom w:val="single" w:color="D0D0D0" w:sz="4"/>
          <w:right w:val="single" w:color="D0D0D0" w:sz="4"/>
          <w:insideH w:val="single" w:color="D0D0D0" w:sz="4"/>
          <w:insideV w:val="single" w:color="D0D0D0" w:sz="4"/>
        </w:tblBorders>
      </w:tblPr>
      <w:tblGrid>
        <w:gridCol w:w="100"/>
      </w:tblGrid>
      <w:tr>
        <w:tc>
          <w:tcPr>
            <w:shd w:fill="F5F5F0" w:val="clear"/>
            <w:tcMar>
              <w:top w:type="dxa" w:w="120"/>
              <w:left w:type="dxa" w:w="160"/>
              <w:bottom w:type="dxa" w:w="120"/>
              <w:right w:type="dxa" w:w="160"/>
            </w:tcMar>
          </w:tcPr>
          <w:p>
            <w:pPr>
              <w:spacing w:after="20"/>
            </w:pPr>
            <w:r>
              <w:rPr>
                <w:rFonts w:ascii="Consolas" w:cs="Consolas" w:eastAsia="Consolas" w:hAnsi="Consolas"/>
                <w:color w:val="333333"/>
                <w:sz w:val="19"/>
                <w:szCs w:val="19"/>
              </w:rPr>
              <w:t xml:space="preserve">assets: [</w:t>
            </w:r>
          </w:p>
          <w:p>
            <w:pPr>
              <w:spacing w:after="20"/>
            </w:pPr>
            <w:r>
              <w:rPr>
                <w:rFonts w:ascii="Consolas" w:cs="Consolas" w:eastAsia="Consolas" w:hAnsi="Consolas"/>
                <w:color w:val="333333"/>
                <w:sz w:val="19"/>
                <w:szCs w:val="19"/>
              </w:rPr>
              <w:t xml:space="preserve">  {</w:t>
            </w:r>
          </w:p>
          <w:p>
            <w:pPr>
              <w:spacing w:after="20"/>
            </w:pPr>
            <w:r>
              <w:rPr>
                <w:rFonts w:ascii="Consolas" w:cs="Consolas" w:eastAsia="Consolas" w:hAnsi="Consolas"/>
                <w:color w:val="333333"/>
                <w:sz w:val="19"/>
                <w:szCs w:val="19"/>
              </w:rPr>
              <w:t xml:space="preserve">    id,</w:t>
            </w:r>
          </w:p>
          <w:p>
            <w:pPr>
              <w:spacing w:after="20"/>
            </w:pPr>
            <w:r>
              <w:rPr>
                <w:rFonts w:ascii="Consolas" w:cs="Consolas" w:eastAsia="Consolas" w:hAnsi="Consolas"/>
                <w:color w:val="333333"/>
                <w:sz w:val="19"/>
                <w:szCs w:val="19"/>
              </w:rPr>
              <w:t xml:space="preserve">    category: "real_property" | "financial" | "business_shares" | "vehicle" | "personal",</w:t>
            </w:r>
          </w:p>
          <w:p>
            <w:pPr>
              <w:spacing w:after="20"/>
            </w:pPr>
            <w:r>
              <w:rPr>
                <w:rFonts w:ascii="Consolas" w:cs="Consolas" w:eastAsia="Consolas" w:hAnsi="Consolas"/>
                <w:color w:val="333333"/>
                <w:sz w:val="19"/>
                <w:szCs w:val="19"/>
              </w:rPr>
              <w:t xml:space="preserve">    description,</w:t>
            </w:r>
          </w:p>
          <w:p>
            <w:pPr>
              <w:spacing w:after="20"/>
            </w:pPr>
            <w:r>
              <w:rPr>
                <w:rFonts w:ascii="Consolas" w:cs="Consolas" w:eastAsia="Consolas" w:hAnsi="Consolas"/>
                <w:color w:val="333333"/>
                <w:sz w:val="19"/>
                <w:szCs w:val="19"/>
              </w:rPr>
              <w:t xml:space="preserve">    value: {value, confidence},           // confidence: "exact" | "estimated" | "default"</w:t>
            </w:r>
          </w:p>
          <w:p>
            <w:pPr>
              <w:spacing w:after="20"/>
            </w:pPr>
            <w:r>
              <w:rPr>
                <w:rFonts w:ascii="Consolas" w:cs="Consolas" w:eastAsia="Consolas" w:hAnsi="Consolas"/>
                <w:color w:val="333333"/>
                <w:sz w:val="19"/>
                <w:szCs w:val="19"/>
              </w:rPr>
              <w:t xml:space="preserve">    acquisitionTiming: "before_marriage" | "during_marriage_gift_inheritance" | "during_marriage_effort_income",</w:t>
            </w:r>
          </w:p>
          <w:p>
            <w:pPr>
              <w:spacing w:after="20"/>
            </w:pPr>
            <w:r>
              <w:rPr>
                <w:rFonts w:ascii="Consolas" w:cs="Consolas" w:eastAsia="Consolas" w:hAnsi="Consolas"/>
                <w:color w:val="333333"/>
                <w:sz w:val="19"/>
                <w:szCs w:val="19"/>
              </w:rPr>
              <w:t xml:space="preserve"> </w:t>
            </w:r>
          </w:p>
          <w:p>
            <w:pPr>
              <w:spacing w:after="20"/>
            </w:pPr>
            <w:r>
              <w:rPr>
                <w:rFonts w:ascii="Consolas" w:cs="Consolas" w:eastAsia="Consolas" w:hAnsi="Consolas"/>
                <w:color w:val="333333"/>
                <w:sz w:val="19"/>
                <w:szCs w:val="19"/>
              </w:rPr>
              <w:t xml:space="preserve">    // real_property only:</w:t>
            </w:r>
          </w:p>
          <w:p>
            <w:pPr>
              <w:spacing w:after="20"/>
            </w:pPr>
            <w:r>
              <w:rPr>
                <w:rFonts w:ascii="Consolas" w:cs="Consolas" w:eastAsia="Consolas" w:hAnsi="Consolas"/>
                <w:color w:val="333333"/>
                <w:sz w:val="19"/>
                <w:szCs w:val="19"/>
              </w:rPr>
              <w:t xml:space="preserve">    isFamilyHome: bool,</w:t>
            </w:r>
          </w:p>
          <w:p>
            <w:pPr>
              <w:spacing w:after="20"/>
            </w:pPr>
            <w:r>
              <w:rPr>
                <w:rFonts w:ascii="Consolas" w:cs="Consolas" w:eastAsia="Consolas" w:hAnsi="Consolas"/>
                <w:color w:val="333333"/>
                <w:sz w:val="19"/>
                <w:szCs w:val="19"/>
              </w:rPr>
              <w:t xml:space="preserve">    natureOfUse: "primary_residence" | "rental_investment" | "commercial" | "agricultural_vacant" | "other" | null,</w:t>
            </w:r>
          </w:p>
          <w:p>
            <w:pPr>
              <w:spacing w:after="20"/>
            </w:pPr>
            <w:r>
              <w:rPr>
                <w:rFonts w:ascii="Consolas" w:cs="Consolas" w:eastAsia="Consolas" w:hAnsi="Consolas"/>
                <w:color w:val="333333"/>
                <w:sz w:val="19"/>
                <w:szCs w:val="19"/>
              </w:rPr>
              <w:t xml:space="preserve">    ownershipStructure: "direct" | "via_business_entity" | null,</w:t>
            </w:r>
          </w:p>
          <w:p>
            <w:pPr>
              <w:spacing w:after="20"/>
            </w:pPr>
            <w:r>
              <w:rPr>
                <w:rFonts w:ascii="Consolas" w:cs="Consolas" w:eastAsia="Consolas" w:hAnsi="Consolas"/>
                <w:color w:val="333333"/>
                <w:sz w:val="19"/>
                <w:szCs w:val="19"/>
              </w:rPr>
              <w:t xml:space="preserve">    // if ownershipStructure == "via_business_entity", this asset is EXCLUDED from the</w:t>
            </w:r>
          </w:p>
          <w:p>
            <w:pPr>
              <w:spacing w:after="20"/>
            </w:pPr>
            <w:r>
              <w:rPr>
                <w:rFonts w:ascii="Consolas" w:cs="Consolas" w:eastAsia="Consolas" w:hAnsi="Consolas"/>
                <w:color w:val="333333"/>
                <w:sz w:val="19"/>
                <w:szCs w:val="19"/>
              </w:rPr>
              <w:t xml:space="preserve">    // real-estate total at calculation time — its value is already captured under the</w:t>
            </w:r>
          </w:p>
          <w:p>
            <w:pPr>
              <w:spacing w:after="20"/>
            </w:pPr>
            <w:r>
              <w:rPr>
                <w:rFonts w:ascii="Consolas" w:cs="Consolas" w:eastAsia="Consolas" w:hAnsi="Consolas"/>
                <w:color w:val="333333"/>
                <w:sz w:val="19"/>
                <w:szCs w:val="19"/>
              </w:rPr>
              <w:t xml:space="preserve">    // corresponding business_shares entry. See §3.2a.</w:t>
            </w:r>
          </w:p>
          <w:p>
            <w:pPr>
              <w:spacing w:after="20"/>
            </w:pPr>
            <w:r>
              <w:rPr>
                <w:rFonts w:ascii="Consolas" w:cs="Consolas" w:eastAsia="Consolas" w:hAnsi="Consolas"/>
                <w:color w:val="333333"/>
                <w:sz w:val="19"/>
                <w:szCs w:val="19"/>
              </w:rPr>
              <w:t xml:space="preserve"> </w:t>
            </w:r>
          </w:p>
          <w:p>
            <w:pPr>
              <w:spacing w:after="20"/>
            </w:pPr>
            <w:r>
              <w:rPr>
                <w:rFonts w:ascii="Consolas" w:cs="Consolas" w:eastAsia="Consolas" w:hAnsi="Consolas"/>
                <w:color w:val="333333"/>
                <w:sz w:val="19"/>
                <w:szCs w:val="19"/>
              </w:rPr>
              <w:t xml:space="preserve">    // business_shares only:</w:t>
            </w:r>
          </w:p>
          <w:p>
            <w:pPr>
              <w:spacing w:after="20"/>
            </w:pPr>
            <w:r>
              <w:rPr>
                <w:rFonts w:ascii="Consolas" w:cs="Consolas" w:eastAsia="Consolas" w:hAnsi="Consolas"/>
                <w:color w:val="333333"/>
                <w:sz w:val="19"/>
                <w:szCs w:val="19"/>
              </w:rPr>
              <w:t xml:space="preserve">    businessValuationMethod: "book_value" | "last_transaction" | "par_value" | "not_sure" | null,</w:t>
            </w:r>
          </w:p>
          <w:p>
            <w:pPr>
              <w:spacing w:after="20"/>
            </w:pPr>
            <w:r>
              <w:rPr>
                <w:rFonts w:ascii="Consolas" w:cs="Consolas" w:eastAsia="Consolas" w:hAnsi="Consolas"/>
                <w:color w:val="333333"/>
                <w:sz w:val="19"/>
                <w:szCs w:val="19"/>
              </w:rPr>
              <w:t xml:space="preserve"> </w:t>
            </w:r>
          </w:p>
          <w:p>
            <w:pPr>
              <w:spacing w:after="20"/>
            </w:pPr>
            <w:r>
              <w:rPr>
                <w:rFonts w:ascii="Consolas" w:cs="Consolas" w:eastAsia="Consolas" w:hAnsi="Consolas"/>
                <w:color w:val="333333"/>
                <w:sz w:val="19"/>
                <w:szCs w:val="19"/>
              </w:rPr>
              <w:t xml:space="preserve">    // financial only (new for v5, LB-10):</w:t>
            </w:r>
          </w:p>
          <w:p>
            <w:pPr>
              <w:spacing w:after="20"/>
            </w:pPr>
            <w:r>
              <w:rPr>
                <w:rFonts w:ascii="Consolas" w:cs="Consolas" w:eastAsia="Consolas" w:hAnsi="Consolas"/>
                <w:color w:val="333333"/>
                <w:sz w:val="19"/>
                <w:szCs w:val="19"/>
              </w:rPr>
              <w:t xml:space="preserve">    currency: "PHP" | "USD" | "EUR" | "JPY" | "SGD" | "AUD" | "GBP",  // default "PHP"</w:t>
            </w:r>
          </w:p>
          <w:p>
            <w:pPr>
              <w:spacing w:after="20"/>
            </w:pPr>
            <w:r>
              <w:rPr>
                <w:rFonts w:ascii="Consolas" w:cs="Consolas" w:eastAsia="Consolas" w:hAnsi="Consolas"/>
                <w:color w:val="333333"/>
                <w:sz w:val="19"/>
                <w:szCs w:val="19"/>
              </w:rPr>
              <w:t xml:space="preserve">    originalAmount: number,        // amount as entered, in `currency`</w:t>
            </w:r>
          </w:p>
          <w:p>
            <w:pPr>
              <w:spacing w:after="20"/>
            </w:pPr>
            <w:r>
              <w:rPr>
                <w:rFonts w:ascii="Consolas" w:cs="Consolas" w:eastAsia="Consolas" w:hAnsi="Consolas"/>
                <w:color w:val="333333"/>
                <w:sz w:val="19"/>
                <w:szCs w:val="19"/>
              </w:rPr>
              <w:t xml:space="preserve">    fxRate: number | null,         // rate used, if currency != "PHP"</w:t>
            </w:r>
          </w:p>
          <w:p>
            <w:pPr>
              <w:spacing w:after="20"/>
            </w:pPr>
            <w:r>
              <w:rPr>
                <w:rFonts w:ascii="Consolas" w:cs="Consolas" w:eastAsia="Consolas" w:hAnsi="Consolas"/>
                <w:color w:val="333333"/>
                <w:sz w:val="19"/>
                <w:szCs w:val="19"/>
              </w:rPr>
              <w:t xml:space="preserve">    fxRateDate: string | null,     // date of the rate fetched, for transparency</w:t>
            </w:r>
          </w:p>
          <w:p>
            <w:pPr>
              <w:spacing w:after="20"/>
            </w:pPr>
            <w:r>
              <w:rPr>
                <w:rFonts w:ascii="Consolas" w:cs="Consolas" w:eastAsia="Consolas" w:hAnsi="Consolas"/>
                <w:color w:val="333333"/>
                <w:sz w:val="19"/>
                <w:szCs w:val="19"/>
              </w:rPr>
              <w:t xml:space="preserve">    fxRateSource: "BSP" | "manual_entry" | null   // "manual_entry" if fetch failed and client typed the PHP equivalent directly</w:t>
            </w:r>
          </w:p>
          <w:p>
            <w:pPr>
              <w:spacing w:after="20"/>
            </w:pPr>
            <w:r>
              <w:rPr>
                <w:rFonts w:ascii="Consolas" w:cs="Consolas" w:eastAsia="Consolas" w:hAnsi="Consolas"/>
                <w:color w:val="333333"/>
                <w:sz w:val="19"/>
                <w:szCs w:val="19"/>
              </w:rPr>
              <w:t xml:space="preserve">    // value.value is always the computed/entered PHP equivalent — everything downstream</w:t>
            </w:r>
          </w:p>
          <w:p>
            <w:pPr>
              <w:spacing w:after="20"/>
            </w:pPr>
            <w:r>
              <w:rPr>
                <w:rFonts w:ascii="Consolas" w:cs="Consolas" w:eastAsia="Consolas" w:hAnsi="Consolas"/>
                <w:color w:val="333333"/>
                <w:sz w:val="19"/>
                <w:szCs w:val="19"/>
              </w:rPr>
              <w:t xml:space="preserve">    // (gross estate, deductions, legitime) operates on this PHP figure only.</w:t>
            </w:r>
          </w:p>
          <w:p>
            <w:pPr>
              <w:spacing w:after="20"/>
            </w:pPr>
            <w:r>
              <w:rPr>
                <w:rFonts w:ascii="Consolas" w:cs="Consolas" w:eastAsia="Consolas" w:hAnsi="Consolas"/>
                <w:color w:val="333333"/>
                <w:sz w:val="19"/>
                <w:szCs w:val="19"/>
              </w:rPr>
              <w:t xml:space="preserve">  }</w:t>
            </w:r>
          </w:p>
          <w:p>
            <w:pPr>
              <w:spacing w:after="20"/>
            </w:pPr>
            <w:r>
              <w:rPr>
                <w:rFonts w:ascii="Consolas" w:cs="Consolas" w:eastAsia="Consolas" w:hAnsi="Consolas"/>
                <w:color w:val="333333"/>
                <w:sz w:val="19"/>
                <w:szCs w:val="19"/>
              </w:rPr>
              <w:t xml:space="preserve">]</w:t>
            </w:r>
          </w:p>
        </w:tc>
      </w:tr>
    </w:tbl>
    <w:p>
      <w:pPr>
        <w:spacing w:after="160" w:line="288"/>
      </w:pPr>
      <w:r>
        <w:rPr>
          <w:i w:val="false"/>
          <w:iCs w:val="false"/>
          <w:color w:val="000000"/>
          <w:sz w:val="22"/>
          <w:szCs w:val="22"/>
        </w:rPr>
        <w:t xml:space="preserve">Finalized dropdown value bands (UI-layer reference data — see Design Spec §3 for full explainer copy):</w:t>
      </w:r>
    </w:p>
    <w:tbl>
      <w:tblPr>
        <w:tblW w:type="pct" w:w="100%"/>
        <w:tblBorders>
          <w:top w:val="single" w:color="D0D0D0" w:sz="4"/>
          <w:left w:val="single" w:color="D0D0D0" w:sz="4"/>
          <w:bottom w:val="single" w:color="D0D0D0" w:sz="4"/>
          <w:right w:val="single" w:color="D0D0D0" w:sz="4"/>
          <w:insideH w:val="single" w:color="D0D0D0" w:sz="4"/>
          <w:insideV w:val="single" w:color="D0D0D0" w:sz="4"/>
        </w:tblBorders>
      </w:tblPr>
      <w:tblGrid>
        <w:gridCol w:w="100"/>
      </w:tblGrid>
      <w:tr>
        <w:tc>
          <w:tcPr>
            <w:shd w:fill="F5F5F0" w:val="clear"/>
            <w:tcMar>
              <w:top w:type="dxa" w:w="120"/>
              <w:left w:type="dxa" w:w="160"/>
              <w:bottom w:type="dxa" w:w="120"/>
              <w:right w:type="dxa" w:w="160"/>
            </w:tcMar>
          </w:tcPr>
          <w:p>
            <w:pPr>
              <w:spacing w:after="20"/>
            </w:pPr>
            <w:r>
              <w:rPr>
                <w:rFonts w:ascii="Consolas" w:cs="Consolas" w:eastAsia="Consolas" w:hAnsi="Consolas"/>
                <w:color w:val="333333"/>
                <w:sz w:val="19"/>
                <w:szCs w:val="19"/>
              </w:rPr>
              <w:t xml:space="preserve">const VALUE_BANDS = {</w:t>
            </w:r>
          </w:p>
          <w:p>
            <w:pPr>
              <w:spacing w:after="20"/>
            </w:pPr>
            <w:r>
              <w:rPr>
                <w:rFonts w:ascii="Consolas" w:cs="Consolas" w:eastAsia="Consolas" w:hAnsi="Consolas"/>
                <w:color w:val="333333"/>
                <w:sz w:val="19"/>
                <w:szCs w:val="19"/>
              </w:rPr>
              <w:t xml:space="preserve">  real_property: ["Under 2M", "2M-5M", "5M-10M", "10M-20M", "20M-50M", "50M-100M", "100M+"],</w:t>
            </w:r>
          </w:p>
          <w:p>
            <w:pPr>
              <w:spacing w:after="20"/>
            </w:pPr>
            <w:r>
              <w:rPr>
                <w:rFonts w:ascii="Consolas" w:cs="Consolas" w:eastAsia="Consolas" w:hAnsi="Consolas"/>
                <w:color w:val="333333"/>
                <w:sz w:val="19"/>
                <w:szCs w:val="19"/>
              </w:rPr>
              <w:t xml:space="preserve">  vehicle:       ["Under 1M", "1M-2M", "2M-4M", "4M-8M", "8M+"],</w:t>
            </w:r>
          </w:p>
          <w:p>
            <w:pPr>
              <w:spacing w:after="20"/>
            </w:pPr>
            <w:r>
              <w:rPr>
                <w:rFonts w:ascii="Consolas" w:cs="Consolas" w:eastAsia="Consolas" w:hAnsi="Consolas"/>
                <w:color w:val="333333"/>
                <w:sz w:val="19"/>
                <w:szCs w:val="19"/>
              </w:rPr>
              <w:t xml:space="preserve">  financial:     ["1M-5M", "5M-10M", "10M-15M", "15M+"],      // no sub-1M band — HNW positioning</w:t>
            </w:r>
          </w:p>
          <w:p>
            <w:pPr>
              <w:spacing w:after="20"/>
            </w:pPr>
            <w:r>
              <w:rPr>
                <w:rFonts w:ascii="Consolas" w:cs="Consolas" w:eastAsia="Consolas" w:hAnsi="Consolas"/>
                <w:color w:val="333333"/>
                <w:sz w:val="19"/>
                <w:szCs w:val="19"/>
              </w:rPr>
              <w:t xml:space="preserve">  business_shares: ["Under 2M", "2M-5M", "5M-10M", "10M-20M", "20M-50M", "50M+"],</w:t>
            </w:r>
          </w:p>
          <w:p>
            <w:pPr>
              <w:spacing w:after="20"/>
            </w:pPr>
            <w:r>
              <w:rPr>
                <w:rFonts w:ascii="Consolas" w:cs="Consolas" w:eastAsia="Consolas" w:hAnsi="Consolas"/>
                <w:color w:val="333333"/>
                <w:sz w:val="19"/>
                <w:szCs w:val="19"/>
              </w:rPr>
              <w:t xml:space="preserve">  personal:      ["Under 100K", "100K-500K", "500K-1M", "1M-3M", "3M-5M", "5M+"]</w:t>
            </w:r>
          </w:p>
          <w:p>
            <w:pPr>
              <w:spacing w:after="20"/>
            </w:pPr>
            <w:r>
              <w:rPr>
                <w:rFonts w:ascii="Consolas" w:cs="Consolas" w:eastAsia="Consolas" w:hAnsi="Consolas"/>
                <w:color w:val="333333"/>
                <w:sz w:val="19"/>
                <w:szCs w:val="19"/>
              </w:rPr>
              <w:t xml:space="preserve">};</w:t>
            </w:r>
          </w:p>
          <w:p>
            <w:pPr>
              <w:spacing w:after="20"/>
            </w:pPr>
            <w:r>
              <w:rPr>
                <w:rFonts w:ascii="Consolas" w:cs="Consolas" w:eastAsia="Consolas" w:hAnsi="Consolas"/>
                <w:color w:val="333333"/>
                <w:sz w:val="19"/>
                <w:szCs w:val="19"/>
              </w:rPr>
              <w:t xml:space="preserve">// Every band pairs with a free-text exact-entry field; dropdown selection tags</w:t>
            </w:r>
          </w:p>
          <w:p>
            <w:pPr>
              <w:spacing w:after="20"/>
            </w:pPr>
            <w:r>
              <w:rPr>
                <w:rFonts w:ascii="Consolas" w:cs="Consolas" w:eastAsia="Consolas" w:hAnsi="Consolas"/>
                <w:color w:val="333333"/>
                <w:sz w:val="19"/>
                <w:szCs w:val="19"/>
              </w:rPr>
              <w:t xml:space="preserve">// confidence = "estimated", typed entry tags confidence = "exact".</w:t>
            </w:r>
          </w:p>
          <w:p>
            <w:pPr>
              <w:spacing w:after="20"/>
            </w:pPr>
            <w:r>
              <w:rPr>
                <w:rFonts w:ascii="Consolas" w:cs="Consolas" w:eastAsia="Consolas" w:hAnsi="Consolas"/>
                <w:color w:val="333333"/>
                <w:sz w:val="19"/>
                <w:szCs w:val="19"/>
              </w:rPr>
              <w:t xml:space="preserve">// Every category also includes a "Not sure / Skip" option.</w:t>
            </w:r>
          </w:p>
        </w:tc>
      </w:tr>
    </w:tbl>
    <w:p>
      <w:pPr>
        <w:spacing w:after="80"/>
      </w:pPr>
    </w:p>
    <w:p>
      <w:pPr>
        <w:pStyle w:val="Heading1"/>
        <w:pBdr>
          <w:bottom w:val="single" w:color="1B2A4A" w:sz="12" w:space="4"/>
        </w:pBdr>
        <w:spacing w:after="200" w:before="360"/>
      </w:pPr>
      <w:r>
        <w:rPr>
          <w:b/>
          <w:bCs/>
          <w:color w:val="1B2A4A"/>
          <w:sz w:val="32"/>
          <w:szCs w:val="32"/>
        </w:rPr>
        <w:t xml:space="preserve">3. Calculation Engine — One New Rule Added</w:t>
      </w:r>
    </w:p>
    <w:p>
      <w:pPr>
        <w:pStyle w:val="Heading2"/>
        <w:spacing w:after="160" w:before="300"/>
      </w:pPr>
      <w:r>
        <w:rPr>
          <w:b/>
          <w:bCs/>
          <w:color w:val="1B2A4A"/>
          <w:sz w:val="26"/>
          <w:szCs w:val="26"/>
        </w:rPr>
        <w:t xml:space="preserve">3.2a Double-Counting Prevention (new)</w:t>
      </w:r>
    </w:p>
    <w:p>
      <w:pPr>
        <w:spacing w:after="160" w:line="288"/>
      </w:pPr>
      <w:r>
        <w:rPr>
          <w:i w:val="false"/>
          <w:iCs w:val="false"/>
          <w:color w:val="000000"/>
          <w:sz w:val="22"/>
          <w:szCs w:val="22"/>
        </w:rPr>
        <w:t xml:space="preserve">Runs immediately after asset entry, before §3.2 (Asset Ownership Split):</w:t>
      </w:r>
    </w:p>
    <w:tbl>
      <w:tblPr>
        <w:tblW w:type="pct" w:w="100%"/>
        <w:tblBorders>
          <w:top w:val="single" w:color="D0D0D0" w:sz="4"/>
          <w:left w:val="single" w:color="D0D0D0" w:sz="4"/>
          <w:bottom w:val="single" w:color="D0D0D0" w:sz="4"/>
          <w:right w:val="single" w:color="D0D0D0" w:sz="4"/>
          <w:insideH w:val="single" w:color="D0D0D0" w:sz="4"/>
          <w:insideV w:val="single" w:color="D0D0D0" w:sz="4"/>
        </w:tblBorders>
      </w:tblPr>
      <w:tblGrid>
        <w:gridCol w:w="100"/>
      </w:tblGrid>
      <w:tr>
        <w:tc>
          <w:tcPr>
            <w:shd w:fill="F5F5F0" w:val="clear"/>
            <w:tcMar>
              <w:top w:type="dxa" w:w="120"/>
              <w:left w:type="dxa" w:w="160"/>
              <w:bottom w:type="dxa" w:w="120"/>
              <w:right w:type="dxa" w:w="160"/>
            </w:tcMar>
          </w:tcPr>
          <w:p>
            <w:pPr>
              <w:spacing w:after="20"/>
            </w:pPr>
            <w:r>
              <w:rPr>
                <w:rFonts w:ascii="Consolas" w:cs="Consolas" w:eastAsia="Consolas" w:hAnsi="Consolas"/>
                <w:color w:val="333333"/>
                <w:sz w:val="19"/>
                <w:szCs w:val="19"/>
              </w:rPr>
              <w:t xml:space="preserve">for each asset where category == "real_property" AND ownershipStructure == "via_business_entity":</w:t>
            </w:r>
          </w:p>
          <w:p>
            <w:pPr>
              <w:spacing w:after="20"/>
            </w:pPr>
            <w:r>
              <w:rPr>
                <w:rFonts w:ascii="Consolas" w:cs="Consolas" w:eastAsia="Consolas" w:hAnsi="Consolas"/>
                <w:color w:val="333333"/>
                <w:sz w:val="19"/>
                <w:szCs w:val="19"/>
              </w:rPr>
              <w:t xml:space="preserve">    exclude this asset from the real-property total used in gross estate (§3.3)</w:t>
            </w:r>
          </w:p>
          <w:p>
            <w:pPr>
              <w:spacing w:after="20"/>
            </w:pPr>
            <w:r>
              <w:rPr>
                <w:rFonts w:ascii="Consolas" w:cs="Consolas" w:eastAsia="Consolas" w:hAnsi="Consolas"/>
                <w:color w:val="333333"/>
                <w:sz w:val="19"/>
                <w:szCs w:val="19"/>
              </w:rPr>
              <w:t xml:space="preserve">    // its value is already represented via the corresponding business_shares asset entry</w:t>
            </w:r>
          </w:p>
          <w:p>
            <w:pPr>
              <w:spacing w:after="20"/>
            </w:pPr>
            <w:r>
              <w:rPr>
                <w:rFonts w:ascii="Consolas" w:cs="Consolas" w:eastAsia="Consolas" w:hAnsi="Consolas"/>
                <w:color w:val="333333"/>
                <w:sz w:val="19"/>
                <w:szCs w:val="19"/>
              </w:rPr>
              <w:t xml:space="preserve">    // do NOT surface this as a warning or error to the user — it's a silent, correct exclusion</w:t>
            </w:r>
          </w:p>
        </w:tc>
      </w:tr>
    </w:tbl>
    <w:p>
      <w:pPr>
        <w:pStyle w:val="Heading2"/>
        <w:spacing w:after="160" w:before="300"/>
      </w:pPr>
      <w:r>
        <w:rPr>
          <w:b/>
          <w:bCs/>
          <w:color w:val="1B2A4A"/>
          <w:sz w:val="26"/>
          <w:szCs w:val="26"/>
        </w:rPr>
        <w:t xml:space="preserve">3.2b Foreign Currency Conversion (new for v5, LB-10)</w:t>
      </w:r>
    </w:p>
    <w:p>
      <w:pPr>
        <w:spacing w:after="160" w:line="288"/>
      </w:pPr>
      <w:r>
        <w:rPr>
          <w:i w:val="false"/>
          <w:iCs w:val="false"/>
          <w:color w:val="000000"/>
          <w:sz w:val="22"/>
          <w:szCs w:val="22"/>
        </w:rPr>
        <w:t xml:space="preserve">Runs at the point of entry for any financial asset where currency != "PHP":</w:t>
      </w:r>
    </w:p>
    <w:tbl>
      <w:tblPr>
        <w:tblW w:type="pct" w:w="100%"/>
        <w:tblBorders>
          <w:top w:val="single" w:color="D0D0D0" w:sz="4"/>
          <w:left w:val="single" w:color="D0D0D0" w:sz="4"/>
          <w:bottom w:val="single" w:color="D0D0D0" w:sz="4"/>
          <w:right w:val="single" w:color="D0D0D0" w:sz="4"/>
          <w:insideH w:val="single" w:color="D0D0D0" w:sz="4"/>
          <w:insideV w:val="single" w:color="D0D0D0" w:sz="4"/>
        </w:tblBorders>
      </w:tblPr>
      <w:tblGrid>
        <w:gridCol w:w="100"/>
      </w:tblGrid>
      <w:tr>
        <w:tc>
          <w:tcPr>
            <w:shd w:fill="F5F5F0" w:val="clear"/>
            <w:tcMar>
              <w:top w:type="dxa" w:w="120"/>
              <w:left w:type="dxa" w:w="160"/>
              <w:bottom w:type="dxa" w:w="120"/>
              <w:right w:type="dxa" w:w="160"/>
            </w:tcMar>
          </w:tcPr>
          <w:p>
            <w:pPr>
              <w:spacing w:after="20"/>
            </w:pPr>
            <w:r>
              <w:rPr>
                <w:rFonts w:ascii="Consolas" w:cs="Consolas" w:eastAsia="Consolas" w:hAnsi="Consolas"/>
                <w:color w:val="333333"/>
                <w:sz w:val="19"/>
                <w:szCs w:val="19"/>
              </w:rPr>
              <w:t xml:space="preserve">on asset entry, if currency != "PHP":</w:t>
            </w:r>
          </w:p>
          <w:p>
            <w:pPr>
              <w:spacing w:after="20"/>
            </w:pPr>
            <w:r>
              <w:rPr>
                <w:rFonts w:ascii="Consolas" w:cs="Consolas" w:eastAsia="Consolas" w:hAnsi="Consolas"/>
                <w:color w:val="333333"/>
                <w:sz w:val="19"/>
                <w:szCs w:val="19"/>
              </w:rPr>
              <w:t xml:space="preserve">    try:</w:t>
            </w:r>
          </w:p>
          <w:p>
            <w:pPr>
              <w:spacing w:after="20"/>
            </w:pPr>
            <w:r>
              <w:rPr>
                <w:rFonts w:ascii="Consolas" w:cs="Consolas" w:eastAsia="Consolas" w:hAnsi="Consolas"/>
                <w:color w:val="333333"/>
                <w:sz w:val="19"/>
                <w:szCs w:val="19"/>
              </w:rPr>
              <w:t xml:space="preserve">        rate = fetch(`https://api.frankfurter.dev/v1/latest?from=${currency}&amp;to=PHP`)</w:t>
            </w:r>
          </w:p>
          <w:p>
            <w:pPr>
              <w:spacing w:after="20"/>
            </w:pPr>
            <w:r>
              <w:rPr>
                <w:rFonts w:ascii="Consolas" w:cs="Consolas" w:eastAsia="Consolas" w:hAnsi="Consolas"/>
                <w:color w:val="333333"/>
                <w:sz w:val="19"/>
                <w:szCs w:val="19"/>
              </w:rPr>
              <w:t xml:space="preserve">        // Frankfurter is a free, no-API-key currency API; for PHP it sources BSP's</w:t>
            </w:r>
          </w:p>
          <w:p>
            <w:pPr>
              <w:spacing w:after="20"/>
            </w:pPr>
            <w:r>
              <w:rPr>
                <w:rFonts w:ascii="Consolas" w:cs="Consolas" w:eastAsia="Consolas" w:hAnsi="Consolas"/>
                <w:color w:val="333333"/>
                <w:sz w:val="19"/>
                <w:szCs w:val="19"/>
              </w:rPr>
              <w:t xml:space="preserve">        // published reference rates. This call transmits NO personal data — only the</w:t>
            </w:r>
          </w:p>
          <w:p>
            <w:pPr>
              <w:spacing w:after="20"/>
            </w:pPr>
            <w:r>
              <w:rPr>
                <w:rFonts w:ascii="Consolas" w:cs="Consolas" w:eastAsia="Consolas" w:hAnsi="Consolas"/>
                <w:color w:val="333333"/>
                <w:sz w:val="19"/>
                <w:szCs w:val="19"/>
              </w:rPr>
              <w:t xml:space="preserve">        // currency pair, identical for every user. See Design Spec §4 for the privacy</w:t>
            </w:r>
          </w:p>
          <w:p>
            <w:pPr>
              <w:spacing w:after="20"/>
            </w:pPr>
            <w:r>
              <w:rPr>
                <w:rFonts w:ascii="Consolas" w:cs="Consolas" w:eastAsia="Consolas" w:hAnsi="Consolas"/>
                <w:color w:val="333333"/>
                <w:sz w:val="19"/>
                <w:szCs w:val="19"/>
              </w:rPr>
              <w:t xml:space="preserve">        // note this requires in the consent copy.</w:t>
            </w:r>
          </w:p>
          <w:p>
            <w:pPr>
              <w:spacing w:after="20"/>
            </w:pPr>
            <w:r>
              <w:rPr>
                <w:rFonts w:ascii="Consolas" w:cs="Consolas" w:eastAsia="Consolas" w:hAnsi="Consolas"/>
                <w:color w:val="333333"/>
                <w:sz w:val="19"/>
                <w:szCs w:val="19"/>
              </w:rPr>
              <w:t xml:space="preserve">        asset.value.value = asset.originalAmount * rate</w:t>
            </w:r>
          </w:p>
          <w:p>
            <w:pPr>
              <w:spacing w:after="20"/>
            </w:pPr>
            <w:r>
              <w:rPr>
                <w:rFonts w:ascii="Consolas" w:cs="Consolas" w:eastAsia="Consolas" w:hAnsi="Consolas"/>
                <w:color w:val="333333"/>
                <w:sz w:val="19"/>
                <w:szCs w:val="19"/>
              </w:rPr>
              <w:t xml:space="preserve">        asset.fxRate = rate</w:t>
            </w:r>
          </w:p>
          <w:p>
            <w:pPr>
              <w:spacing w:after="20"/>
            </w:pPr>
            <w:r>
              <w:rPr>
                <w:rFonts w:ascii="Consolas" w:cs="Consolas" w:eastAsia="Consolas" w:hAnsi="Consolas"/>
                <w:color w:val="333333"/>
                <w:sz w:val="19"/>
                <w:szCs w:val="19"/>
              </w:rPr>
              <w:t xml:space="preserve">        asset.fxRateDate = today's date</w:t>
            </w:r>
          </w:p>
          <w:p>
            <w:pPr>
              <w:spacing w:after="20"/>
            </w:pPr>
            <w:r>
              <w:rPr>
                <w:rFonts w:ascii="Consolas" w:cs="Consolas" w:eastAsia="Consolas" w:hAnsi="Consolas"/>
                <w:color w:val="333333"/>
                <w:sz w:val="19"/>
                <w:szCs w:val="19"/>
              </w:rPr>
              <w:t xml:space="preserve">        asset.fxRateSource = "BSP"</w:t>
            </w:r>
          </w:p>
          <w:p>
            <w:pPr>
              <w:spacing w:after="20"/>
            </w:pPr>
            <w:r>
              <w:rPr>
                <w:rFonts w:ascii="Consolas" w:cs="Consolas" w:eastAsia="Consolas" w:hAnsi="Consolas"/>
                <w:color w:val="333333"/>
                <w:sz w:val="19"/>
                <w:szCs w:val="19"/>
              </w:rPr>
              <w:t xml:space="preserve">        asset.value.confidence = "estimated"   // a converted figure is inherently an estimate</w:t>
            </w:r>
          </w:p>
          <w:p>
            <w:pPr>
              <w:spacing w:after="20"/>
            </w:pPr>
            <w:r>
              <w:rPr>
                <w:rFonts w:ascii="Consolas" w:cs="Consolas" w:eastAsia="Consolas" w:hAnsi="Consolas"/>
                <w:color w:val="333333"/>
                <w:sz w:val="19"/>
                <w:szCs w:val="19"/>
              </w:rPr>
              <w:t xml:space="preserve">    except (fetch fails — offline, API down):</w:t>
            </w:r>
          </w:p>
          <w:p>
            <w:pPr>
              <w:spacing w:after="20"/>
            </w:pPr>
            <w:r>
              <w:rPr>
                <w:rFonts w:ascii="Consolas" w:cs="Consolas" w:eastAsia="Consolas" w:hAnsi="Consolas"/>
                <w:color w:val="333333"/>
                <w:sz w:val="19"/>
                <w:szCs w:val="19"/>
              </w:rPr>
              <w:t xml:space="preserve">        prompt the client to type the PHP equivalent manually instead</w:t>
            </w:r>
          </w:p>
          <w:p>
            <w:pPr>
              <w:spacing w:after="20"/>
            </w:pPr>
            <w:r>
              <w:rPr>
                <w:rFonts w:ascii="Consolas" w:cs="Consolas" w:eastAsia="Consolas" w:hAnsi="Consolas"/>
                <w:color w:val="333333"/>
                <w:sz w:val="19"/>
                <w:szCs w:val="19"/>
              </w:rPr>
              <w:t xml:space="preserve">        asset.fxRateSource = "manual_entry"</w:t>
            </w:r>
          </w:p>
          <w:p>
            <w:pPr>
              <w:spacing w:after="20"/>
            </w:pPr>
            <w:r>
              <w:rPr>
                <w:rFonts w:ascii="Consolas" w:cs="Consolas" w:eastAsia="Consolas" w:hAnsi="Consolas"/>
                <w:color w:val="333333"/>
                <w:sz w:val="19"/>
                <w:szCs w:val="19"/>
              </w:rPr>
              <w:t xml:space="preserve">        asset.value.confidence = "estimated"</w:t>
            </w:r>
          </w:p>
          <w:p>
            <w:pPr>
              <w:spacing w:after="20"/>
            </w:pPr>
            <w:r>
              <w:rPr>
                <w:rFonts w:ascii="Consolas" w:cs="Consolas" w:eastAsia="Consolas" w:hAnsi="Consolas"/>
                <w:color w:val="333333"/>
                <w:sz w:val="19"/>
                <w:szCs w:val="19"/>
              </w:rPr>
              <w:t xml:space="preserve">        // never block the flow on a failed fetch</w:t>
            </w:r>
          </w:p>
        </w:tc>
      </w:tr>
    </w:tbl>
    <w:p>
      <w:pPr>
        <w:pStyle w:val="Heading2"/>
        <w:spacing w:after="160" w:before="300"/>
      </w:pPr>
      <w:r>
        <w:rPr>
          <w:b/>
          <w:bCs/>
          <w:color w:val="1B2A4A"/>
          <w:sz w:val="26"/>
          <w:szCs w:val="26"/>
        </w:rPr>
        <w:t xml:space="preserve">3.4 Family Home Deduction — clarified dependency</w:t>
      </w:r>
    </w:p>
    <w:tbl>
      <w:tblPr>
        <w:tblW w:type="pct" w:w="100%"/>
        <w:tblBorders>
          <w:top w:val="single" w:color="D0D0D0" w:sz="4"/>
          <w:left w:val="single" w:color="D0D0D0" w:sz="4"/>
          <w:bottom w:val="single" w:color="D0D0D0" w:sz="4"/>
          <w:right w:val="single" w:color="D0D0D0" w:sz="4"/>
          <w:insideH w:val="single" w:color="D0D0D0" w:sz="4"/>
          <w:insideV w:val="single" w:color="D0D0D0" w:sz="4"/>
        </w:tblBorders>
      </w:tblPr>
      <w:tblGrid>
        <w:gridCol w:w="100"/>
      </w:tblGrid>
      <w:tr>
        <w:tc>
          <w:tcPr>
            <w:shd w:fill="F5F5F0" w:val="clear"/>
            <w:tcMar>
              <w:top w:type="dxa" w:w="120"/>
              <w:left w:type="dxa" w:w="160"/>
              <w:bottom w:type="dxa" w:w="120"/>
              <w:right w:type="dxa" w:w="160"/>
            </w:tcMar>
          </w:tcPr>
          <w:p>
            <w:pPr>
              <w:spacing w:after="20"/>
            </w:pPr>
            <w:r>
              <w:rPr>
                <w:rFonts w:ascii="Consolas" w:cs="Consolas" w:eastAsia="Consolas" w:hAnsi="Consolas"/>
                <w:color w:val="333333"/>
                <w:sz w:val="19"/>
                <w:szCs w:val="19"/>
              </w:rPr>
              <w:t xml:space="preserve">familyHomeDeduction = min(familyHomeAsset.value * decedentShare, 10,000,000)</w:t>
            </w:r>
          </w:p>
          <w:p>
            <w:pPr>
              <w:spacing w:after="20"/>
            </w:pPr>
            <w:r>
              <w:rPr>
                <w:rFonts w:ascii="Consolas" w:cs="Consolas" w:eastAsia="Consolas" w:hAnsi="Consolas"/>
                <w:color w:val="333333"/>
                <w:sz w:val="19"/>
                <w:szCs w:val="19"/>
              </w:rPr>
              <w:t xml:space="preserve">    if any asset.isFamilyHome == true AND asset.natureOfUse == "primary_residence"</w:t>
            </w:r>
          </w:p>
          <w:p>
            <w:pPr>
              <w:spacing w:after="20"/>
            </w:pPr>
            <w:r>
              <w:rPr>
                <w:rFonts w:ascii="Consolas" w:cs="Consolas" w:eastAsia="Consolas" w:hAnsi="Consolas"/>
                <w:color w:val="333333"/>
                <w:sz w:val="19"/>
                <w:szCs w:val="19"/>
              </w:rPr>
              <w:t xml:space="preserve">    else 0</w:t>
            </w:r>
          </w:p>
          <w:p>
            <w:pPr>
              <w:spacing w:after="20"/>
            </w:pPr>
            <w:r>
              <w:rPr>
                <w:rFonts w:ascii="Consolas" w:cs="Consolas" w:eastAsia="Consolas" w:hAnsi="Consolas"/>
                <w:color w:val="333333"/>
                <w:sz w:val="19"/>
                <w:szCs w:val="19"/>
              </w:rPr>
              <w:t xml:space="preserve">// natureOfUse is now a required gate — a rental or commercial property can never</w:t>
            </w:r>
          </w:p>
          <w:p>
            <w:pPr>
              <w:spacing w:after="20"/>
            </w:pPr>
            <w:r>
              <w:rPr>
                <w:rFonts w:ascii="Consolas" w:cs="Consolas" w:eastAsia="Consolas" w:hAnsi="Consolas"/>
                <w:color w:val="333333"/>
                <w:sz w:val="19"/>
                <w:szCs w:val="19"/>
              </w:rPr>
              <w:t xml:space="preserve">// qualify for this deduction regardless of how isFamilyHome is (mis)tagged.</w:t>
            </w:r>
          </w:p>
        </w:tc>
      </w:tr>
    </w:tbl>
    <w:p>
      <w:pPr>
        <w:pStyle w:val="Heading2"/>
        <w:spacing w:after="160" w:before="300"/>
      </w:pPr>
      <w:r>
        <w:rPr>
          <w:b/>
          <w:bCs/>
          <w:color w:val="1B2A4A"/>
          <w:sz w:val="26"/>
          <w:szCs w:val="26"/>
        </w:rPr>
        <w:t xml:space="preserve">3.8 Co-Ownership Risk Flag — clarified dependency</w:t>
      </w:r>
    </w:p>
    <w:tbl>
      <w:tblPr>
        <w:tblW w:type="pct" w:w="100%"/>
        <w:tblBorders>
          <w:top w:val="single" w:color="D0D0D0" w:sz="4"/>
          <w:left w:val="single" w:color="D0D0D0" w:sz="4"/>
          <w:bottom w:val="single" w:color="D0D0D0" w:sz="4"/>
          <w:right w:val="single" w:color="D0D0D0" w:sz="4"/>
          <w:insideH w:val="single" w:color="D0D0D0" w:sz="4"/>
          <w:insideV w:val="single" w:color="D0D0D0" w:sz="4"/>
        </w:tblBorders>
      </w:tblPr>
      <w:tblGrid>
        <w:gridCol w:w="100"/>
      </w:tblGrid>
      <w:tr>
        <w:tc>
          <w:tcPr>
            <w:shd w:fill="F5F5F0" w:val="clear"/>
            <w:tcMar>
              <w:top w:type="dxa" w:w="120"/>
              <w:left w:type="dxa" w:w="160"/>
              <w:bottom w:type="dxa" w:w="120"/>
              <w:right w:type="dxa" w:w="160"/>
            </w:tcMar>
          </w:tcPr>
          <w:p>
            <w:pPr>
              <w:spacing w:after="20"/>
            </w:pPr>
            <w:r>
              <w:rPr>
                <w:rFonts w:ascii="Consolas" w:cs="Consolas" w:eastAsia="Consolas" w:hAnsi="Consolas"/>
                <w:color w:val="333333"/>
                <w:sz w:val="19"/>
                <w:szCs w:val="19"/>
              </w:rPr>
              <w:t xml:space="preserve">if (illegitimate child exists AND biologicalParent includes "self")</w:t>
            </w:r>
          </w:p>
          <w:p>
            <w:pPr>
              <w:spacing w:after="20"/>
            </w:pPr>
            <w:r>
              <w:rPr>
                <w:rFonts w:ascii="Consolas" w:cs="Consolas" w:eastAsia="Consolas" w:hAnsi="Consolas"/>
                <w:color w:val="333333"/>
                <w:sz w:val="19"/>
                <w:szCs w:val="19"/>
              </w:rPr>
              <w:t xml:space="preserve">   AND (an asset is tagged isFamilyHome == true AND natureOfUse == "primary_residence")</w:t>
            </w:r>
          </w:p>
          <w:p>
            <w:pPr>
              <w:spacing w:after="20"/>
            </w:pPr>
            <w:r>
              <w:rPr>
                <w:rFonts w:ascii="Consolas" w:cs="Consolas" w:eastAsia="Consolas" w:hAnsi="Consolas"/>
                <w:color w:val="333333"/>
                <w:sz w:val="19"/>
                <w:szCs w:val="19"/>
              </w:rPr>
              <w:t xml:space="preserve">   AND (mode == "intestate" OR (mode == "testate" AND no Art. 1080-style partition indicated)):</w:t>
            </w:r>
          </w:p>
          <w:p>
            <w:pPr>
              <w:spacing w:after="20"/>
            </w:pPr>
            <w:r>
              <w:rPr>
                <w:rFonts w:ascii="Consolas" w:cs="Consolas" w:eastAsia="Consolas" w:hAnsi="Consolas"/>
                <w:color w:val="333333"/>
                <w:sz w:val="19"/>
                <w:szCs w:val="19"/>
              </w:rPr>
              <w:t xml:space="preserve">    emit flag("family_home_co_ownership_risk")</w:t>
            </w:r>
          </w:p>
          <w:p>
            <w:pPr>
              <w:spacing w:after="20"/>
            </w:pPr>
            <w:r>
              <w:rPr>
                <w:rFonts w:ascii="Consolas" w:cs="Consolas" w:eastAsia="Consolas" w:hAnsi="Consolas"/>
                <w:color w:val="333333"/>
                <w:sz w:val="19"/>
                <w:szCs w:val="19"/>
              </w:rPr>
              <w:t xml:space="preserve">// unchanged in substance from v2 — natureOfUse now makes the "family home" condition</w:t>
            </w:r>
          </w:p>
          <w:p>
            <w:pPr>
              <w:spacing w:after="20"/>
            </w:pPr>
            <w:r>
              <w:rPr>
                <w:rFonts w:ascii="Consolas" w:cs="Consolas" w:eastAsia="Consolas" w:hAnsi="Consolas"/>
                <w:color w:val="333333"/>
                <w:sz w:val="19"/>
                <w:szCs w:val="19"/>
              </w:rPr>
              <w:t xml:space="preserve">// explicit and reliable rather than relying on isFamilyHome alone.</w:t>
            </w:r>
          </w:p>
        </w:tc>
      </w:tr>
    </w:tbl>
    <w:p>
      <w:pPr>
        <w:pStyle w:val="Heading2"/>
        <w:spacing w:after="160" w:before="300"/>
      </w:pPr>
      <w:r>
        <w:rPr>
          <w:b/>
          <w:bCs/>
          <w:color w:val="1B2A4A"/>
          <w:sz w:val="26"/>
          <w:szCs w:val="26"/>
        </w:rPr>
        <w:t xml:space="preserve">3.6, Step 2 — Intestate Unit Method — UPDATED for v4 (adds adopted children, LB-9)</w:t>
      </w:r>
    </w:p>
    <w:tbl>
      <w:tblPr>
        <w:tblW w:type="pct" w:w="100%"/>
        <w:tblBorders>
          <w:top w:val="single" w:color="D0D0D0" w:sz="4"/>
          <w:left w:val="single" w:color="D0D0D0" w:sz="4"/>
          <w:bottom w:val="single" w:color="D0D0D0" w:sz="4"/>
          <w:right w:val="single" w:color="D0D0D0" w:sz="4"/>
          <w:insideH w:val="single" w:color="D0D0D0" w:sz="4"/>
          <w:insideV w:val="single" w:color="D0D0D0" w:sz="4"/>
        </w:tblBorders>
      </w:tblPr>
      <w:tblGrid>
        <w:gridCol w:w="100"/>
      </w:tblGrid>
      <w:tr>
        <w:tc>
          <w:tcPr>
            <w:shd w:fill="F5F5F0" w:val="clear"/>
            <w:tcMar>
              <w:top w:type="dxa" w:w="120"/>
              <w:left w:type="dxa" w:w="160"/>
              <w:bottom w:type="dxa" w:w="120"/>
              <w:right w:type="dxa" w:w="160"/>
            </w:tcMar>
          </w:tcPr>
          <w:p>
            <w:pPr>
              <w:spacing w:after="20"/>
            </w:pPr>
            <w:r>
              <w:rPr>
                <w:rFonts w:ascii="Consolas" w:cs="Consolas" w:eastAsia="Consolas" w:hAnsi="Consolas"/>
                <w:color w:val="333333"/>
                <w:sz w:val="19"/>
                <w:szCs w:val="19"/>
              </w:rPr>
              <w:t xml:space="preserve">netHereditaryEstate = decedent's exclusive assets + decedent's community share</w:t>
            </w:r>
          </w:p>
          <w:p>
            <w:pPr>
              <w:spacing w:after="20"/>
            </w:pPr>
            <w:r>
              <w:rPr>
                <w:rFonts w:ascii="Consolas" w:cs="Consolas" w:eastAsia="Consolas" w:hAnsi="Consolas"/>
                <w:color w:val="333333"/>
                <w:sz w:val="19"/>
                <w:szCs w:val="19"/>
              </w:rPr>
              <w:t xml:space="preserve">collatedBase = netHereditaryEstate + sum(priorGifts.valueAtTimeOfGift where recipient is a compulsory heir)</w:t>
            </w:r>
          </w:p>
          <w:p>
            <w:pPr>
              <w:spacing w:after="20"/>
            </w:pPr>
            <w:r>
              <w:rPr>
                <w:rFonts w:ascii="Consolas" w:cs="Consolas" w:eastAsia="Consolas" w:hAnsi="Consolas"/>
                <w:color w:val="333333"/>
                <w:sz w:val="19"/>
                <w:szCs w:val="19"/>
              </w:rPr>
              <w:t xml:space="preserve"> </w:t>
            </w:r>
          </w:p>
          <w:p>
            <w:pPr>
              <w:spacing w:after="20"/>
            </w:pPr>
            <w:r>
              <w:rPr>
                <w:rFonts w:ascii="Consolas" w:cs="Consolas" w:eastAsia="Consolas" w:hAnsi="Consolas"/>
                <w:color w:val="333333"/>
                <w:sz w:val="19"/>
                <w:szCs w:val="19"/>
              </w:rPr>
              <w:t xml:space="preserve">units.legitimateChild = 2   // each</w:t>
            </w:r>
          </w:p>
          <w:p>
            <w:pPr>
              <w:spacing w:after="20"/>
            </w:pPr>
            <w:r>
              <w:rPr>
                <w:rFonts w:ascii="Consolas" w:cs="Consolas" w:eastAsia="Consolas" w:hAnsi="Consolas"/>
                <w:color w:val="333333"/>
                <w:sz w:val="19"/>
                <w:szCs w:val="19"/>
              </w:rPr>
              <w:t xml:space="preserve">units.adoptedChild = 2      // each — NEW, LB-9: joins the legitimate-child pool, no distinction</w:t>
            </w:r>
          </w:p>
          <w:p>
            <w:pPr>
              <w:spacing w:after="20"/>
            </w:pPr>
            <w:r>
              <w:rPr>
                <w:rFonts w:ascii="Consolas" w:cs="Consolas" w:eastAsia="Consolas" w:hAnsi="Consolas"/>
                <w:color w:val="333333"/>
                <w:sz w:val="19"/>
                <w:szCs w:val="19"/>
              </w:rPr>
              <w:t xml:space="preserve">units.illegitimateChild = 1 // each, only if biologicalParent includes "self"</w:t>
            </w:r>
          </w:p>
          <w:p>
            <w:pPr>
              <w:spacing w:after="20"/>
            </w:pPr>
            <w:r>
              <w:rPr>
                <w:rFonts w:ascii="Consolas" w:cs="Consolas" w:eastAsia="Consolas" w:hAnsi="Consolas"/>
                <w:color w:val="333333"/>
                <w:sz w:val="19"/>
                <w:szCs w:val="19"/>
              </w:rPr>
              <w:t xml:space="preserve">units.spouse = 2            // only if spouse survives AND is not disqualified (LB-3, LB-4)</w:t>
            </w:r>
          </w:p>
          <w:p>
            <w:pPr>
              <w:spacing w:after="20"/>
            </w:pPr>
            <w:r>
              <w:rPr>
                <w:rFonts w:ascii="Consolas" w:cs="Consolas" w:eastAsia="Consolas" w:hAnsi="Consolas"/>
                <w:color w:val="333333"/>
                <w:sz w:val="19"/>
                <w:szCs w:val="19"/>
              </w:rPr>
              <w:t xml:space="preserve"> </w:t>
            </w:r>
          </w:p>
          <w:p>
            <w:pPr>
              <w:spacing w:after="20"/>
            </w:pPr>
            <w:r>
              <w:rPr>
                <w:rFonts w:ascii="Consolas" w:cs="Consolas" w:eastAsia="Consolas" w:hAnsi="Consolas"/>
                <w:color w:val="333333"/>
                <w:sz w:val="19"/>
                <w:szCs w:val="19"/>
              </w:rPr>
              <w:t xml:space="preserve">totalUnits = (2 * count(legitimateChildren)) + (2 * count(adoptedChildren))</w:t>
            </w:r>
          </w:p>
          <w:p>
            <w:pPr>
              <w:spacing w:after="20"/>
            </w:pPr>
            <w:r>
              <w:rPr>
                <w:rFonts w:ascii="Consolas" w:cs="Consolas" w:eastAsia="Consolas" w:hAnsi="Consolas"/>
                <w:color w:val="333333"/>
                <w:sz w:val="19"/>
                <w:szCs w:val="19"/>
              </w:rPr>
              <w:t xml:space="preserve">           + (1 * count(illegitimateChildren where biologicalParent includes "self"))</w:t>
            </w:r>
          </w:p>
          <w:p>
            <w:pPr>
              <w:spacing w:after="20"/>
            </w:pPr>
            <w:r>
              <w:rPr>
                <w:rFonts w:ascii="Consolas" w:cs="Consolas" w:eastAsia="Consolas" w:hAnsi="Consolas"/>
                <w:color w:val="333333"/>
                <w:sz w:val="19"/>
                <w:szCs w:val="19"/>
              </w:rPr>
              <w:t xml:space="preserve">           + (spouse eligible ? 2 : 0)</w:t>
            </w:r>
          </w:p>
          <w:p>
            <w:pPr>
              <w:spacing w:after="20"/>
            </w:pPr>
            <w:r>
              <w:rPr>
                <w:rFonts w:ascii="Consolas" w:cs="Consolas" w:eastAsia="Consolas" w:hAnsi="Consolas"/>
                <w:color w:val="333333"/>
                <w:sz w:val="19"/>
                <w:szCs w:val="19"/>
              </w:rPr>
              <w:t xml:space="preserve">valuePerUnit = collatedBase / totalUnits</w:t>
            </w:r>
          </w:p>
          <w:p>
            <w:pPr>
              <w:spacing w:after="20"/>
            </w:pPr>
            <w:r>
              <w:rPr>
                <w:rFonts w:ascii="Consolas" w:cs="Consolas" w:eastAsia="Consolas" w:hAnsi="Consolas"/>
                <w:color w:val="333333"/>
                <w:sz w:val="19"/>
                <w:szCs w:val="19"/>
              </w:rPr>
              <w:t xml:space="preserve"> </w:t>
            </w:r>
          </w:p>
          <w:p>
            <w:pPr>
              <w:spacing w:after="20"/>
            </w:pPr>
            <w:r>
              <w:rPr>
                <w:rFonts w:ascii="Consolas" w:cs="Consolas" w:eastAsia="Consolas" w:hAnsi="Consolas"/>
                <w:color w:val="333333"/>
                <w:sz w:val="19"/>
                <w:szCs w:val="19"/>
              </w:rPr>
              <w:t xml:space="preserve">each legitimate OR adopted child's gross entitlement = 2 * valuePerUnit</w:t>
            </w:r>
          </w:p>
          <w:p>
            <w:pPr>
              <w:spacing w:after="20"/>
            </w:pPr>
            <w:r>
              <w:rPr>
                <w:rFonts w:ascii="Consolas" w:cs="Consolas" w:eastAsia="Consolas" w:hAnsi="Consolas"/>
                <w:color w:val="333333"/>
                <w:sz w:val="19"/>
                <w:szCs w:val="19"/>
              </w:rPr>
              <w:t xml:space="preserve">each illegitimate child's gross entitlement = 1 * valuePerUnit</w:t>
            </w:r>
          </w:p>
          <w:p>
            <w:pPr>
              <w:spacing w:after="20"/>
            </w:pPr>
            <w:r>
              <w:rPr>
                <w:rFonts w:ascii="Consolas" w:cs="Consolas" w:eastAsia="Consolas" w:hAnsi="Consolas"/>
                <w:color w:val="333333"/>
                <w:sz w:val="19"/>
                <w:szCs w:val="19"/>
              </w:rPr>
              <w:t xml:space="preserve">spouse's gross entitlement (if eligible) = 2 * valuePerUnit</w:t>
            </w:r>
          </w:p>
          <w:p>
            <w:pPr>
              <w:spacing w:after="20"/>
            </w:pPr>
            <w:r>
              <w:rPr>
                <w:rFonts w:ascii="Consolas" w:cs="Consolas" w:eastAsia="Consolas" w:hAnsi="Consolas"/>
                <w:color w:val="333333"/>
                <w:sz w:val="19"/>
                <w:szCs w:val="19"/>
              </w:rPr>
              <w:t xml:space="preserve"> </w:t>
            </w:r>
          </w:p>
          <w:p>
            <w:pPr>
              <w:spacing w:after="20"/>
            </w:pPr>
            <w:r>
              <w:rPr>
                <w:rFonts w:ascii="Consolas" w:cs="Consolas" w:eastAsia="Consolas" w:hAnsi="Consolas"/>
                <w:color w:val="333333"/>
                <w:sz w:val="19"/>
                <w:szCs w:val="19"/>
              </w:rPr>
              <w:t xml:space="preserve">// sanity check: all legitimate AND adopted children's gross entitlements MUST be equal</w:t>
            </w:r>
          </w:p>
          <w:p>
            <w:pPr>
              <w:spacing w:after="20"/>
            </w:pPr>
            <w:r>
              <w:rPr>
                <w:rFonts w:ascii="Consolas" w:cs="Consolas" w:eastAsia="Consolas" w:hAnsi="Consolas"/>
                <w:color w:val="333333"/>
                <w:sz w:val="19"/>
                <w:szCs w:val="19"/>
              </w:rPr>
              <w:t xml:space="preserve">// to one another (same 2-unit weighting) — if not, this is a bug, flag for review.</w:t>
            </w:r>
          </w:p>
        </w:tc>
      </w:tr>
    </w:tbl>
    <w:p>
      <w:pPr>
        <w:pStyle w:val="Heading2"/>
        <w:spacing w:after="160" w:before="300"/>
      </w:pPr>
      <w:r>
        <w:rPr>
          <w:b/>
          <w:bCs/>
          <w:color w:val="1B2A4A"/>
          <w:sz w:val="26"/>
          <w:szCs w:val="26"/>
        </w:rPr>
        <w:t xml:space="preserve">3.6, Step 3 — Collation Catch-Up (LB-6) — CORRECTED, supersedes v2</w:t>
      </w:r>
    </w:p>
    <w:p>
      <w:pPr>
        <w:spacing w:after="160" w:line="288"/>
      </w:pPr>
      <w:r>
        <w:rPr>
          <w:i w:val="false"/>
          <w:iCs w:val="false"/>
          <w:color w:val="000000"/>
          <w:sz w:val="22"/>
          <w:szCs w:val="22"/>
        </w:rPr>
        <w:t xml:space="preserve">A bug was found while hand-working Test Scenario 3 (see HeirIQ-Test-Scenarios-v1.md): the v2 formula summed remainingEntitlement across all heirs without flooring negative values at zero first. Algebraically, that sum always equals the actual remaining estate exactly — meaning the shortfall flag below could never fire, regardless of how depleted the estate was by an earlier overpayment to one heir.</w:t>
      </w:r>
    </w:p>
    <w:tbl>
      <w:tblPr>
        <w:tblW w:type="pct" w:w="100%"/>
        <w:tblBorders>
          <w:top w:val="single" w:color="D0D0D0" w:sz="4"/>
          <w:left w:val="single" w:color="D0D0D0" w:sz="4"/>
          <w:bottom w:val="single" w:color="D0D0D0" w:sz="4"/>
          <w:right w:val="single" w:color="D0D0D0" w:sz="4"/>
          <w:insideH w:val="single" w:color="D0D0D0" w:sz="4"/>
          <w:insideV w:val="single" w:color="D0D0D0" w:sz="4"/>
        </w:tblBorders>
      </w:tblPr>
      <w:tblGrid>
        <w:gridCol w:w="100"/>
      </w:tblGrid>
      <w:tr>
        <w:tc>
          <w:tcPr>
            <w:shd w:fill="F5F5F0" w:val="clear"/>
            <w:tcMar>
              <w:top w:type="dxa" w:w="120"/>
              <w:left w:type="dxa" w:w="160"/>
              <w:bottom w:type="dxa" w:w="120"/>
              <w:right w:type="dxa" w:w="160"/>
            </w:tcMar>
          </w:tcPr>
          <w:p>
            <w:pPr>
              <w:spacing w:after="20"/>
            </w:pPr>
            <w:r>
              <w:rPr>
                <w:rFonts w:ascii="Consolas" w:cs="Consolas" w:eastAsia="Consolas" w:hAnsi="Consolas"/>
                <w:color w:val="333333"/>
                <w:sz w:val="19"/>
                <w:szCs w:val="19"/>
              </w:rPr>
              <w:t xml:space="preserve">for each compulsory heir:</w:t>
            </w:r>
          </w:p>
          <w:p>
            <w:pPr>
              <w:spacing w:after="20"/>
            </w:pPr>
            <w:r>
              <w:rPr>
                <w:rFonts w:ascii="Consolas" w:cs="Consolas" w:eastAsia="Consolas" w:hAnsi="Consolas"/>
                <w:color w:val="333333"/>
                <w:sz w:val="19"/>
                <w:szCs w:val="19"/>
              </w:rPr>
              <w:t xml:space="preserve">    alreadyReceived = sum(their priorGifts.valueAtTimeOfGift)</w:t>
            </w:r>
          </w:p>
          <w:p>
            <w:pPr>
              <w:spacing w:after="20"/>
            </w:pPr>
            <w:r>
              <w:rPr>
                <w:rFonts w:ascii="Consolas" w:cs="Consolas" w:eastAsia="Consolas" w:hAnsi="Consolas"/>
                <w:color w:val="333333"/>
                <w:sz w:val="19"/>
                <w:szCs w:val="19"/>
              </w:rPr>
              <w:t xml:space="preserve">    remainingEntitlement = heir.grossEntitlement - alreadyReceived</w:t>
            </w:r>
          </w:p>
          <w:p>
            <w:pPr>
              <w:spacing w:after="20"/>
            </w:pPr>
            <w:r>
              <w:rPr>
                <w:rFonts w:ascii="Consolas" w:cs="Consolas" w:eastAsia="Consolas" w:hAnsi="Consolas"/>
                <w:color w:val="333333"/>
                <w:sz w:val="19"/>
                <w:szCs w:val="19"/>
              </w:rPr>
              <w:t xml:space="preserve">    if remainingEntitlement &lt; 0:</w:t>
            </w:r>
          </w:p>
          <w:p>
            <w:pPr>
              <w:spacing w:after="20"/>
            </w:pPr>
            <w:r>
              <w:rPr>
                <w:rFonts w:ascii="Consolas" w:cs="Consolas" w:eastAsia="Consolas" w:hAnsi="Consolas"/>
                <w:color w:val="333333"/>
                <w:sz w:val="19"/>
                <w:szCs w:val="19"/>
              </w:rPr>
              <w:t xml:space="preserve">        flag("gift_exceeds_entitlement", heir)  // informational — heir already received more than their share</w:t>
            </w:r>
          </w:p>
          <w:p>
            <w:pPr>
              <w:spacing w:after="20"/>
            </w:pPr>
            <w:r>
              <w:rPr>
                <w:rFonts w:ascii="Consolas" w:cs="Consolas" w:eastAsia="Consolas" w:hAnsi="Consolas"/>
                <w:color w:val="333333"/>
                <w:sz w:val="19"/>
                <w:szCs w:val="19"/>
              </w:rPr>
              <w:t xml:space="preserve">        cappedRemainingEntitlement = 0          // CANNOT be clawed back; must not offset other heirs' shortfalls</w:t>
            </w:r>
          </w:p>
          <w:p>
            <w:pPr>
              <w:spacing w:after="20"/>
            </w:pPr>
            <w:r>
              <w:rPr>
                <w:rFonts w:ascii="Consolas" w:cs="Consolas" w:eastAsia="Consolas" w:hAnsi="Consolas"/>
                <w:color w:val="333333"/>
                <w:sz w:val="19"/>
                <w:szCs w:val="19"/>
              </w:rPr>
              <w:t xml:space="preserve">    else:</w:t>
            </w:r>
          </w:p>
          <w:p>
            <w:pPr>
              <w:spacing w:after="20"/>
            </w:pPr>
            <w:r>
              <w:rPr>
                <w:rFonts w:ascii="Consolas" w:cs="Consolas" w:eastAsia="Consolas" w:hAnsi="Consolas"/>
                <w:color w:val="333333"/>
                <w:sz w:val="19"/>
                <w:szCs w:val="19"/>
              </w:rPr>
              <w:t xml:space="preserve">        cappedRemainingEntitlement = remainingEntitlement</w:t>
            </w:r>
          </w:p>
          <w:p>
            <w:pPr>
              <w:spacing w:after="20"/>
            </w:pPr>
            <w:r>
              <w:rPr>
                <w:rFonts w:ascii="Consolas" w:cs="Consolas" w:eastAsia="Consolas" w:hAnsi="Consolas"/>
                <w:color w:val="333333"/>
                <w:sz w:val="19"/>
                <w:szCs w:val="19"/>
              </w:rPr>
              <w:t xml:space="preserve">    display: { alreadyReceived, remainingEntitlement, grossEntitlement }  // show the TRUE (possibly negative) value for transparency</w:t>
            </w:r>
          </w:p>
          <w:p>
            <w:pPr>
              <w:spacing w:after="20"/>
            </w:pPr>
            <w:r>
              <w:rPr>
                <w:rFonts w:ascii="Consolas" w:cs="Consolas" w:eastAsia="Consolas" w:hAnsi="Consolas"/>
                <w:color w:val="333333"/>
                <w:sz w:val="19"/>
                <w:szCs w:val="19"/>
              </w:rPr>
              <w:t xml:space="preserve"> </w:t>
            </w:r>
          </w:p>
          <w:p>
            <w:pPr>
              <w:spacing w:after="20"/>
            </w:pPr>
            <w:r>
              <w:rPr>
                <w:rFonts w:ascii="Consolas" w:cs="Consolas" w:eastAsia="Consolas" w:hAnsi="Consolas"/>
                <w:color w:val="333333"/>
                <w:sz w:val="19"/>
                <w:szCs w:val="19"/>
              </w:rPr>
              <w:t xml:space="preserve">// Sum the CAPPED values, not raw remainingEntitlement — this is the correction.</w:t>
            </w:r>
          </w:p>
          <w:p>
            <w:pPr>
              <w:spacing w:after="20"/>
            </w:pPr>
            <w:r>
              <w:rPr>
                <w:rFonts w:ascii="Consolas" w:cs="Consolas" w:eastAsia="Consolas" w:hAnsi="Consolas"/>
                <w:color w:val="333333"/>
                <w:sz w:val="19"/>
                <w:szCs w:val="19"/>
              </w:rPr>
              <w:t xml:space="preserve">totalNeededFromRemainingEstate = sum(cappedRemainingEntitlement across all heirs)</w:t>
            </w:r>
          </w:p>
          <w:p>
            <w:pPr>
              <w:spacing w:after="20"/>
            </w:pPr>
            <w:r>
              <w:rPr>
                <w:rFonts w:ascii="Consolas" w:cs="Consolas" w:eastAsia="Consolas" w:hAnsi="Consolas"/>
                <w:color w:val="333333"/>
                <w:sz w:val="19"/>
                <w:szCs w:val="19"/>
              </w:rPr>
              <w:t xml:space="preserve">if totalNeededFromRemainingEstate &gt; (estate value remaining at time of death, after prior gifts already given):</w:t>
            </w:r>
          </w:p>
          <w:p>
            <w:pPr>
              <w:spacing w:after="20"/>
            </w:pPr>
            <w:r>
              <w:rPr>
                <w:rFonts w:ascii="Consolas" w:cs="Consolas" w:eastAsia="Consolas" w:hAnsi="Consolas"/>
                <w:color w:val="333333"/>
                <w:sz w:val="19"/>
                <w:szCs w:val="19"/>
              </w:rPr>
              <w:t xml:space="preserve">    flag("insufficient_estate_to_equalize")  // the real legitime-violation risk —</w:t>
            </w:r>
          </w:p>
          <w:p>
            <w:pPr>
              <w:spacing w:after="20"/>
            </w:pPr>
            <w:r>
              <w:rPr>
                <w:rFonts w:ascii="Consolas" w:cs="Consolas" w:eastAsia="Consolas" w:hAnsi="Consolas"/>
                <w:color w:val="333333"/>
                <w:sz w:val="19"/>
                <w:szCs w:val="19"/>
              </w:rPr>
              <w:t xml:space="preserve">    // not the raw difference between gift amounts</w:t>
            </w:r>
          </w:p>
        </w:tc>
      </w:tr>
    </w:tbl>
    <w:p>
      <w:pPr>
        <w:spacing w:after="160" w:line="288"/>
      </w:pPr>
      <w:r>
        <w:rPr>
          <w:i w:val="false"/>
          <w:iCs w:val="false"/>
          <w:color w:val="000000"/>
          <w:sz w:val="22"/>
          <w:szCs w:val="22"/>
        </w:rPr>
        <w:t xml:space="preserve">All other calculation engine sections (§3.1, 3.3, 3.5, 3.7, 3.9) are unchanged from v2 — see that document for the testate floor calculation and advisory-only flags.</w:t>
      </w:r>
    </w:p>
    <w:p>
      <w:pPr>
        <w:spacing w:after="80"/>
      </w:pPr>
    </w:p>
    <w:p>
      <w:pPr>
        <w:pStyle w:val="Heading1"/>
        <w:pBdr>
          <w:bottom w:val="single" w:color="1B2A4A" w:sz="12" w:space="4"/>
        </w:pBdr>
        <w:spacing w:after="200" w:before="360"/>
      </w:pPr>
      <w:r>
        <w:rPr>
          <w:b/>
          <w:bCs/>
          <w:color w:val="1B2A4A"/>
          <w:sz w:val="32"/>
          <w:szCs w:val="32"/>
        </w:rPr>
        <w:t xml:space="preserve">4. Screen/Component Inventory — unchanged from v2</w:t>
      </w:r>
    </w:p>
    <w:p>
      <w:pPr>
        <w:spacing w:after="160" w:line="288"/>
      </w:pPr>
      <w:r>
        <w:rPr>
          <w:i w:val="false"/>
          <w:iCs w:val="false"/>
          <w:color w:val="000000"/>
          <w:sz w:val="22"/>
          <w:szCs w:val="22"/>
        </w:rPr>
        <w:t xml:space="preserve">AccessGate → Landing → ConsentNotice → SectionA_MaritalRegime → SectionB_Family → SectionC_Assets (now with five sub-components, one per asset category) → SectionD_PriorGifts → SectionE_InsuranceDocs → ConsentFinal → Results → Confirmation</w:t>
      </w:r>
    </w:p>
    <w:p>
      <w:pPr>
        <w:spacing w:after="80"/>
      </w:pPr>
    </w:p>
    <w:p>
      <w:pPr>
        <w:pStyle w:val="Heading1"/>
        <w:pBdr>
          <w:bottom w:val="single" w:color="1B2A4A" w:sz="12" w:space="4"/>
        </w:pBdr>
        <w:spacing w:after="200" w:before="360"/>
      </w:pPr>
      <w:r>
        <w:rPr>
          <w:b/>
          <w:bCs/>
          <w:color w:val="1B2A4A"/>
          <w:sz w:val="32"/>
          <w:szCs w:val="32"/>
        </w:rPr>
        <w:t xml:space="preserve">5. Build Sequence — one addition to Step 3's test scenarios</w:t>
      </w:r>
    </w:p>
    <w:p>
      <w:pPr>
        <w:spacing w:after="160" w:line="288"/>
      </w:pPr>
      <w:r>
        <w:rPr>
          <w:i w:val="false"/>
          <w:iCs w:val="false"/>
          <w:color w:val="000000"/>
          <w:sz w:val="22"/>
          <w:szCs w:val="22"/>
        </w:rPr>
        <w:t xml:space="preserve">1. Skeleton &amp; navigation</w:t>
      </w:r>
    </w:p>
    <w:p>
      <w:pPr>
        <w:spacing w:after="160" w:line="288"/>
      </w:pPr>
      <w:r>
        <w:rPr>
          <w:i w:val="false"/>
          <w:iCs w:val="false"/>
          <w:color w:val="000000"/>
          <w:sz w:val="22"/>
          <w:szCs w:val="22"/>
        </w:rPr>
        <w:t xml:space="preserve">2. Data capture forms</w:t>
      </w:r>
    </w:p>
    <w:p>
      <w:pPr>
        <w:spacing w:after="160" w:line="288"/>
      </w:pPr>
      <w:r>
        <w:rPr>
          <w:i w:val="false"/>
          <w:iCs w:val="false"/>
          <w:color w:val="000000"/>
          <w:sz w:val="22"/>
          <w:szCs w:val="22"/>
        </w:rPr>
        <w:t xml:space="preserve">3. Calculation engine — test against hand-worked scenarios, now including a fourth scenario: a family-owned property held via a corporation, confirming it correctly excludes from the real-estate total and appears only once, under business shares (§3.2a)</w:t>
      </w:r>
    </w:p>
    <w:p>
      <w:pPr>
        <w:spacing w:after="160" w:line="288"/>
      </w:pPr>
      <w:r>
        <w:rPr>
          <w:i w:val="false"/>
          <w:iCs w:val="false"/>
          <w:color w:val="000000"/>
          <w:sz w:val="22"/>
          <w:szCs w:val="22"/>
        </w:rPr>
        <w:t xml:space="preserve">4. Results screen</w:t>
      </w:r>
    </w:p>
    <w:p>
      <w:pPr>
        <w:spacing w:after="160" w:line="288"/>
      </w:pPr>
      <w:r>
        <w:rPr>
          <w:i w:val="false"/>
          <w:iCs w:val="false"/>
          <w:color w:val="000000"/>
          <w:sz w:val="22"/>
          <w:szCs w:val="22"/>
        </w:rPr>
        <w:t xml:space="preserve">5. PDF + email integration</w:t>
      </w:r>
    </w:p>
    <w:p>
      <w:pPr>
        <w:spacing w:after="160" w:line="288"/>
      </w:pPr>
      <w:r>
        <w:rPr>
          <w:i w:val="false"/>
          <w:iCs w:val="false"/>
          <w:color w:val="000000"/>
          <w:sz w:val="22"/>
          <w:szCs w:val="22"/>
        </w:rPr>
        <w:t xml:space="preserve">6. Content polish pass</w:t>
      </w:r>
    </w:p>
    <w:p>
      <w:pPr>
        <w:spacing w:after="160" w:line="288"/>
      </w:pPr>
      <w:r>
        <w:rPr>
          <w:i w:val="false"/>
          <w:iCs w:val="false"/>
          <w:color w:val="000000"/>
          <w:sz w:val="22"/>
          <w:szCs w:val="22"/>
        </w:rPr>
        <w:t xml:space="preserve">7. Cross-device/responsive pass</w:t>
      </w:r>
    </w:p>
    <w:p>
      <w:pPr>
        <w:spacing w:after="80"/>
      </w:pPr>
    </w:p>
    <w:p>
      <w:pPr>
        <w:pStyle w:val="Heading1"/>
        <w:pBdr>
          <w:bottom w:val="single" w:color="1B2A4A" w:sz="12" w:space="4"/>
        </w:pBdr>
        <w:spacing w:after="200" w:before="360"/>
      </w:pPr>
      <w:r>
        <w:rPr>
          <w:b/>
          <w:bCs/>
          <w:color w:val="1B2A4A"/>
          <w:sz w:val="32"/>
          <w:szCs w:val="32"/>
        </w:rPr>
        <w:t xml:space="preserve">6. Explicit Non-Goals for v1 — unchanged from v2</w:t>
      </w:r>
    </w:p>
    <w:p>
      <w:pPr>
        <w:spacing w:after="160" w:line="288"/>
      </w:pPr>
      <w:r>
        <w:rPr>
          <w:i w:val="false"/>
          <w:iCs w:val="false"/>
          <w:color w:val="000000"/>
          <w:sz w:val="22"/>
          <w:szCs w:val="22"/>
        </w:rPr>
        <w:t xml:space="preserve">See v2 for full list. No changes this revision.</w:t>
      </w:r>
    </w:p>
    <w:p>
      <w:pPr>
        <w:spacing w:after="80"/>
      </w:pPr>
    </w:p>
    <w:p>
      <w:pPr>
        <w:pStyle w:val="Heading1"/>
        <w:pBdr>
          <w:bottom w:val="single" w:color="1B2A4A" w:sz="12" w:space="4"/>
        </w:pBdr>
        <w:spacing w:after="200" w:before="360"/>
      </w:pPr>
      <w:r>
        <w:rPr>
          <w:b/>
          <w:bCs/>
          <w:color w:val="1B2A4A"/>
          <w:sz w:val="32"/>
          <w:szCs w:val="32"/>
        </w:rPr>
        <w:t xml:space="preserve">7. Open Items for Getty Before Build Starts</w:t>
      </w:r>
    </w:p>
    <w:p>
      <w:pPr>
        <w:spacing w:after="160" w:line="288"/>
      </w:pPr>
      <w:r>
        <w:rPr>
          <w:i w:val="false"/>
          <w:iCs w:val="false"/>
          <w:color w:val="000000"/>
          <w:sz w:val="22"/>
          <w:szCs w:val="22"/>
        </w:rPr>
        <w:t xml:space="preserve">1. Confirm Google account for Apps Script deployment</w:t>
      </w:r>
    </w:p>
    <w:p>
      <w:pPr>
        <w:spacing w:after="160" w:line="288"/>
      </w:pPr>
      <w:r>
        <w:rPr>
          <w:i w:val="false"/>
          <w:iCs w:val="false"/>
          <w:color w:val="000000"/>
          <w:sz w:val="22"/>
          <w:szCs w:val="22"/>
        </w:rPr>
        <w:t xml:space="preserve">2. Confirm hosting domain</w:t>
      </w:r>
    </w:p>
    <w:p>
      <w:pPr>
        <w:spacing w:after="160" w:line="288"/>
      </w:pPr>
      <w:r>
        <w:rPr>
          <w:i w:val="false"/>
          <w:iCs w:val="false"/>
          <w:color w:val="000000"/>
          <w:sz w:val="22"/>
          <w:szCs w:val="22"/>
        </w:rPr>
        <w:t xml:space="preserve">3. Confirm whether a hidden test-mode shortcut is wanted for review cycles</w:t>
      </w:r>
    </w:p>
    <w:p>
      <w:pPr>
        <w:spacing w:after="160" w:line="288"/>
      </w:pPr>
      <w:r>
        <w:rPr>
          <w:i w:val="false"/>
          <w:iCs w:val="false"/>
          <w:color w:val="000000"/>
          <w:sz w:val="22"/>
          <w:szCs w:val="22"/>
        </w:rPr>
        <w:t xml:space="preserve">4. Final read-through of the four hand-worked test scenarios (§5, step 3) before they're used as acceptance criteria</w:t>
      </w:r>
    </w:p>
    <w:p>
      <w:pPr>
        <w:spacing w:after="160" w:line="288"/>
      </w:pPr>
      <w:r>
        <w:rPr>
          <w:i w:val="false"/>
          <w:iCs w:val="false"/>
          <w:color w:val="000000"/>
          <w:sz w:val="22"/>
          <w:szCs w:val="22"/>
        </w:rPr>
        <w:t xml:space="preserve">5. Periodic review of the value bands in §2 against actual market movement — these are calibrated to current data and will drift over time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2026-09-10T08:37:40.276Z</dcterms:created>
  <dcterms:modified xsi:type="dcterms:W3CDTF">2026-09-10T08:37:40.276Z</dcterms:modified>
</cp:coreProperties>
</file>

<file path=docProps/custom.xml><?xml version="1.0" encoding="utf-8"?>
<Properties xmlns="http://schemas.openxmlformats.org/officeDocument/2006/custom-properties" xmlns:vt="http://schemas.openxmlformats.org/officeDocument/2006/docPropsVTypes"/>
</file>