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b/>
          <w:bCs/>
          <w:color w:val="1B2A4A"/>
          <w:sz w:val="44"/>
          <w:szCs w:val="44"/>
        </w:rPr>
        <w:t xml:space="preserve">HeirIQ — Design Specification v5.0</w:t>
      </w:r>
    </w:p>
    <w:p>
      <w:pPr>
        <w:pBdr>
          <w:bottom w:val="single" w:color="B8860B" w:sz="18" w:space="6"/>
        </w:pBdr>
        <w:spacing w:after="240"/>
      </w:pPr>
      <w:r>
        <w:rPr>
          <w:i/>
          <w:iCs/>
          <w:color w:val="666666"/>
          <w:sz w:val="24"/>
          <w:szCs w:val="24"/>
        </w:rPr>
        <w:t xml:space="preserve">A self-paced Philippine estate planning discovery &amp; gap assessment tool.</w:t>
      </w:r>
    </w:p>
    <w:p>
      <w:pPr>
        <w:spacing w:after="300"/>
      </w:pPr>
      <w:r>
        <w:rPr>
          <w:color w:val="666666"/>
          <w:sz w:val="20"/>
          <w:szCs w:val="20"/>
        </w:rPr>
        <w:t xml:space="preserve">Owner: Getty Balictar | v5 adds foreign-currency entry with BSP-rate conversion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A self-paced Philippine estate planning discovery &amp; gap assessment tool.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Owner: Getty Balictar. Standalone product, separate from SparkZight. Built for Claude Code implementation.</w:t>
      </w:r>
    </w:p>
    <w:p>
      <w:pPr>
        <w:spacing w:after="160" w:line="288"/>
      </w:pPr>
      <w:r>
        <w:rPr>
          <w:i/>
          <w:iCs/>
          <w:color w:val="666666"/>
          <w:sz w:val="22"/>
          <w:szCs w:val="22"/>
        </w:rPr>
        <w:t xml:space="preserve">v5 supersedes v4 — adds foreign-currency entry and automatic peso conversion for Financial Accounts (LB-10). Legal citations referenced by short code (e.g. LB-4) point to HeirIQ-Legal-Basis-Appendix-v1.md, now at v3.0.</w:t>
      </w:r>
    </w:p>
    <w:p>
      <w:pPr>
        <w:spacing w:after="80"/>
      </w:pPr>
    </w:p>
    <w:p>
      <w:pPr>
        <w:pStyle w:val="Heading1"/>
        <w:pBdr>
          <w:bottom w:val="single" w:color="1B2A4A" w:sz="12" w:space="4"/>
        </w:pBdr>
        <w:spacing w:after="200" w:before="360"/>
      </w:pPr>
      <w:r>
        <w:rPr>
          <w:b/>
          <w:bCs/>
          <w:color w:val="1B2A4A"/>
          <w:sz w:val="32"/>
          <w:szCs w:val="32"/>
        </w:rPr>
        <w:t xml:space="preserve">1. Brand &amp; Identity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Name: </w:t>
      </w:r>
      <w:r>
        <w:rPr>
          <w:sz w:val="22"/>
          <w:szCs w:val="22"/>
        </w:rPr>
        <w:t xml:space="preserve">HeirIQ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Positioning: </w:t>
      </w:r>
      <w:r>
        <w:rPr>
          <w:sz w:val="22"/>
          <w:szCs w:val="22"/>
        </w:rPr>
        <w:t xml:space="preserve">Premium, trustworthy, techy-but-approachable. Not clinical, not gamified. HNW/UHNW-oriented — every design choice, including value bands, should read as knowledgeable about this client tier, not generic.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Color palette (finalized): 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Primary navy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#1B2A4A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Headers, primary text, trust anchor</w:t>
            </w:r>
          </w:p>
        </w:tc>
      </w:tr>
      <w:tr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Accent gold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#C08A28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CTAs and progress indicators only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Charcoal text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#2B2B2B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Body copy</w:t>
            </w:r>
          </w:p>
        </w:tc>
      </w:tr>
      <w:tr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Warm cream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#FBF8F2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Page background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Slate gray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#6B7280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Secondary text, labels</w:t>
            </w:r>
          </w:p>
        </w:tc>
      </w:tr>
      <w:tr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Hairline border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#E2E5EA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Dividers, card edges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tag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#2E7D6B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 teal — confirmed gaps</w:t>
            </w:r>
          </w:p>
        </w:tc>
      </w:tr>
      <w:tr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Estimated tag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#D8A64B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Amber — needs verifying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Needs consultation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#B5651D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Burnt terracotta — deferred items (never true red)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Logo: </w:t>
      </w:r>
      <w:r>
        <w:rPr>
          <w:sz w:val="22"/>
          <w:szCs w:val="22"/>
        </w:rPr>
        <w:t xml:space="preserve">Deferred.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Attribution: </w:t>
      </w:r>
      <w:r>
        <w:rPr>
          <w:sz w:val="22"/>
          <w:szCs w:val="22"/>
        </w:rPr>
        <w:t xml:space="preserve">"by Getty Balictar, Certified Wealth Planner."</w:t>
      </w:r>
    </w:p>
    <w:p>
      <w:pPr>
        <w:spacing w:after="80"/>
      </w:pPr>
    </w:p>
    <w:p>
      <w:pPr>
        <w:pStyle w:val="Heading1"/>
        <w:pBdr>
          <w:bottom w:val="single" w:color="1B2A4A" w:sz="12" w:space="4"/>
        </w:pBdr>
        <w:spacing w:after="200" w:before="360"/>
      </w:pPr>
      <w:r>
        <w:rPr>
          <w:b/>
          <w:bCs/>
          <w:color w:val="1B2A4A"/>
          <w:sz w:val="32"/>
          <w:szCs w:val="32"/>
        </w:rPr>
        <w:t xml:space="preserve">2. Consent Copy — unchanged from v2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See v2 for full Touchpoint 1 and Touchpoint 2 copy; no changes this revision.</w:t>
      </w:r>
    </w:p>
    <w:p>
      <w:pPr>
        <w:spacing w:after="80"/>
      </w:pPr>
    </w:p>
    <w:p>
      <w:pPr>
        <w:pStyle w:val="Heading1"/>
        <w:pBdr>
          <w:bottom w:val="single" w:color="1B2A4A" w:sz="12" w:space="4"/>
        </w:pBdr>
        <w:spacing w:after="200" w:before="360"/>
      </w:pPr>
      <w:r>
        <w:rPr>
          <w:b/>
          <w:bCs/>
          <w:color w:val="1B2A4A"/>
          <w:sz w:val="32"/>
          <w:szCs w:val="32"/>
        </w:rPr>
        <w:t xml:space="preserve">3. Screen-by-Screen Specification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Screens 0, 1, A, D, E, Results, and Confirmation are unchanged from v2 — see that document for full detail. Section B (Family Structure) and Section C (Asset Inventory) are updated below.</w:t>
      </w:r>
    </w:p>
    <w:p>
      <w:pPr>
        <w:pStyle w:val="Heading2"/>
        <w:spacing w:after="160" w:before="300"/>
      </w:pPr>
      <w:r>
        <w:rPr>
          <w:b/>
          <w:bCs/>
          <w:color w:val="1B2A4A"/>
          <w:sz w:val="26"/>
          <w:szCs w:val="26"/>
        </w:rPr>
        <w:t xml:space="preserve">Section B — Family Structure (Updated for v4)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Legitimate children: label, birth order (up to 10)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Adopted children (new): </w:t>
      </w:r>
      <w:r>
        <w:rPr>
          <w:sz w:val="22"/>
          <w:szCs w:val="22"/>
        </w:rPr>
        <w:t xml:space="preserve">same fields as legitimate children (label, birth order, up to 10) — a separate array in the data model, but treated identically to legitimate children in the legitime calculation (LB-9). Copy: "Include any children you've legally adopted — under Philippine law, they have the same inheritance rights as your biological legitimate children."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Illegitimate children: label, birth order, qualifying question ("Is this child biologically yours, your spouse's, or both of yours?" — relevance test, LB-5)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Aliases/nicknames supported for privacy (unchanged from v2)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Trip-wires: predeceased child with descendants (representation), disputed/unrecognized filiation — both deferred, flow continues (unchanged from v2)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Living legitimate parents (Y/N) — unchanged from v2</w:t>
      </w:r>
    </w:p>
    <w:p>
      <w:pPr>
        <w:pStyle w:val="Heading2"/>
        <w:spacing w:after="160" w:before="300"/>
      </w:pPr>
      <w:r>
        <w:rPr>
          <w:b/>
          <w:bCs/>
          <w:color w:val="1B2A4A"/>
          <w:sz w:val="26"/>
          <w:szCs w:val="26"/>
        </w:rPr>
        <w:t xml:space="preserve">Section C — Asset Inventory (Finalized)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General scope note (unchanged): "Please include assets in your name, your spouse's name, or jointly held — we'll sort out ownership classification with the next question."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Each of the five asset categories below pairs a dropdown band (tagged estimated) with a free-text exact-entry field (tagged exact) — the user can always type a precise figure instead of picking a band.</w:t>
      </w:r>
    </w:p>
    <w:p>
      <w:pPr>
        <w:pStyle w:val="Heading3"/>
        <w:spacing w:after="120" w:before="220"/>
      </w:pPr>
      <w:r>
        <w:rPr>
          <w:b/>
          <w:bCs/>
          <w:color w:val="B8860B"/>
          <w:sz w:val="23"/>
          <w:szCs w:val="23"/>
        </w:rPr>
        <w:t xml:space="preserve">C1. Real Estate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Explainer: "Include any land, house, condominium, or commercial property you or your spouse own."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band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₱2M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₱2M – ₱5M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₱5M – ₱10M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₱10M – ₱20M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₱20M – ₱50M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₱50M – ₱100M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₱100M+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sure / Skip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i/>
          <w:iCs/>
          <w:color w:val="666666"/>
          <w:sz w:val="22"/>
          <w:szCs w:val="22"/>
        </w:rPr>
        <w:t xml:space="preserve">(Bands grounded in current Metro Manila and Baguio market data — see build notes for sourcing.)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Nature of use (new — required per property):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Primary residence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Rental or investment property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Commercial property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Agricultural or vacant land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Other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This determines Family Home deduction eligibility (Build Brief §3.4) and whether the co-ownership risk flag (LB-7) applies — that flag only makes sense for a primary residence, not a rental unit.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Ownership structure (new — required per property): "Is this property owned directly by you or your spouse, or by a corporation/partnership you hold shares in?"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Directly owned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Owned via a business entity I hold shares in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If "via a business entity," the property is excluded from the Real Estate total — its value is already represented under Business/Corporate Shares below. This prevents double-counting the same asset once as real estate and again inside a business valuation.</w:t>
      </w:r>
    </w:p>
    <w:p>
      <w:pPr>
        <w:pStyle w:val="Heading3"/>
        <w:spacing w:after="120" w:before="220"/>
      </w:pPr>
      <w:r>
        <w:rPr>
          <w:b/>
          <w:bCs/>
          <w:color w:val="B8860B"/>
          <w:sz w:val="23"/>
          <w:szCs w:val="23"/>
        </w:rPr>
        <w:t xml:space="preserve">C2. Vehicles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Explainer: "Include cars, motorcycles, or other titled vehicles you or your spouse own personally — not company-titled vehicles, which are typically part of a business's own assets."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band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₱1M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₱1M – ₱2M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₱2M – ₱4M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₱4M – ₱8M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₱8M+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sure / Skip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i/>
          <w:iCs/>
          <w:color w:val="666666"/>
          <w:sz w:val="22"/>
          <w:szCs w:val="22"/>
        </w:rPr>
        <w:t xml:space="preserve">(Grounded in current PH new-vehicle pricing, entry sedans through luxury/exotic tiers.)</w:t>
      </w:r>
    </w:p>
    <w:p>
      <w:pPr>
        <w:pStyle w:val="Heading3"/>
        <w:spacing w:after="120" w:before="220"/>
      </w:pPr>
      <w:r>
        <w:rPr>
          <w:b/>
          <w:bCs/>
          <w:color w:val="B8860B"/>
          <w:sz w:val="23"/>
          <w:szCs w:val="23"/>
        </w:rPr>
        <w:t xml:space="preserve">C3. Financial Accounts (Bank &amp; Investments)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Explainer: "Include savings and time deposit accounts, stocks and mutual funds, UITFs, bonds, and other investment holdings. If you own shares in your own or your family's privately-held business, that's a separate category below — not here."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Foreign currency entry (new for v5): Each entry offers a currency selector (PHP default, plus USD, EUR, JPY, SGD, AUD, GBP). If a foreign currency is selected, the client enters the amount in that currency directly — the tool fetches the day's reference rate and displays the computed peso equivalent live, so the client never has to do the conversion themselves. Copy: "You can enter this in the currency you actually hold it in — we'll convert it to pesos for you." Below the converted figure: "Converted using the [date] BSP reference rate — the actual value may differ slightly by the time of settlement." If the rate fetch fails (e.g., no connection), the client can type the peso equivalent manually instead — the flow never blocks on this.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band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₱1M – ₱5M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₱5M – ₱10M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₱10M – ₱15M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₱15M+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sure / Skip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i/>
          <w:iCs/>
          <w:color w:val="666666"/>
          <w:sz w:val="22"/>
          <w:szCs w:val="22"/>
        </w:rPr>
        <w:t xml:space="preserve">(No sub-₱1M band — deliberately, to match HNW/UHNW positioning; a precise smaller figure remains fully capturable via the exact-entry field. Value bands apply to the converted peso amount regardless of original currency.)</w:t>
      </w:r>
    </w:p>
    <w:p>
      <w:pPr>
        <w:pStyle w:val="Heading3"/>
        <w:spacing w:after="120" w:before="220"/>
      </w:pPr>
      <w:r>
        <w:rPr>
          <w:b/>
          <w:bCs/>
          <w:color w:val="B8860B"/>
          <w:sz w:val="23"/>
          <w:szCs w:val="23"/>
        </w:rPr>
        <w:t xml:space="preserve">C4. Business/Corporate Shares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Explainer: "This is different from publicly-traded stocks (which go under Financial Accounts above). This refers to your ownership stake in a privately-held business — a family corporation, partnership, or sole proprietorship not listed on the stock exchange."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Probe-first gate: "Do you or your family own shares in a privately-held business (not publicly traded on the stock exchange)?" Only if yes, show: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band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₱2M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₱2M – ₱5M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₱5M – ₱10M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₱10M – ₱20M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₱20M – ₱50M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₱50M+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sure / Skip</w:t>
            </w:r>
          </w:p>
        </w:tc>
      </w:tr>
    </w:tbl>
    <w:p>
      <w:pPr>
        <w:spacing w:after="160"/>
      </w:pP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Followed by valuation method (book value / last transaction / par value / not sure), tagged "Estimated — independent appraisal likely required."</w:t>
      </w:r>
    </w:p>
    <w:p>
      <w:pPr>
        <w:pStyle w:val="Heading3"/>
        <w:spacing w:after="120" w:before="220"/>
      </w:pPr>
      <w:r>
        <w:rPr>
          <w:b/>
          <w:bCs/>
          <w:color w:val="B8860B"/>
          <w:sz w:val="23"/>
          <w:szCs w:val="23"/>
        </w:rPr>
        <w:t xml:space="preserve">C5. Personal Property (jewelry, collectibles, valuables)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band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Under ₱100K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₱100K – ₱500K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₱500K – ₱1M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₱1M – ₱3M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₱3M – ₱5M</w:t>
            </w:r>
          </w:p>
        </w:tc>
      </w:tr>
      <w:tr>
        <w:tc>
          <w:tcPr>
            <w:tcW w:type="dxa" w:w="936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₱5M+</w:t>
            </w:r>
          </w:p>
        </w:tc>
      </w:tr>
      <w:tr>
        <w:tc>
          <w:tcPr>
            <w:tcW w:type="dxa" w:w="936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 sure / Skip</w:t>
            </w:r>
          </w:p>
        </w:tc>
      </w:tr>
    </w:tbl>
    <w:p>
      <w:pPr>
        <w:spacing w:after="160"/>
      </w:pPr>
    </w:p>
    <w:p>
      <w:pPr>
        <w:pStyle w:val="Heading3"/>
        <w:spacing w:after="120" w:before="220"/>
      </w:pPr>
      <w:r>
        <w:rPr>
          <w:b/>
          <w:bCs/>
          <w:color w:val="B8860B"/>
          <w:sz w:val="23"/>
          <w:szCs w:val="23"/>
        </w:rPr>
        <w:t xml:space="preserve">Liabilities/debts against the estate — unchanged from v2.</w:t>
      </w:r>
    </w:p>
    <w:p>
      <w:pPr>
        <w:spacing w:after="80"/>
      </w:pPr>
    </w:p>
    <w:p>
      <w:pPr>
        <w:pStyle w:val="Heading1"/>
        <w:pBdr>
          <w:bottom w:val="single" w:color="1B2A4A" w:sz="12" w:space="4"/>
        </w:pBdr>
        <w:spacing w:after="200" w:before="360"/>
      </w:pPr>
      <w:r>
        <w:rPr>
          <w:b/>
          <w:bCs/>
          <w:color w:val="1B2A4A"/>
          <w:sz w:val="32"/>
          <w:szCs w:val="32"/>
        </w:rPr>
        <w:t xml:space="preserve">4. Cross-Cutting Rules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Unchanged from v2, plus: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Double-counting prevention: </w:t>
      </w:r>
      <w:r>
        <w:rPr>
          <w:sz w:val="22"/>
          <w:szCs w:val="22"/>
        </w:rPr>
        <w:t xml:space="preserve">a real property tagged "owned via a business entity" is excluded from the Real Estate total and represented only under Business/Corporate Shares. This check runs automatically at the calculation-engine level (Build Brief §3.2a) — the user never sees a warning, the tool simply doesn't ask them to enter the same value twice.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  <w:sz w:val="22"/>
          <w:szCs w:val="22"/>
        </w:rPr>
        <w:t xml:space="preserve">Currency conversion rule tightened (new for v5): </w:t>
      </w:r>
      <w:r>
        <w:rPr>
          <w:sz w:val="22"/>
          <w:szCs w:val="22"/>
        </w:rPr>
        <w:t xml:space="preserve">the earlier "no data transmission before Touchpoint 2" rule is now stated precisely: no personal data is transmitted before final consent — a currency exchange rate may be fetched from a public rate source, but this call carries no information about the client whatsoever. This distinction is disclosed in the Touchpoint 1 privacy notice.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All other cross-cutting rules (confidence tagging, 10-child cap, local save-and-resume, trip-wire behavior, product-naming exception, gifting-opportunity bias) are unchanged from v2.</w:t>
      </w:r>
    </w:p>
    <w:p>
      <w:pPr>
        <w:spacing w:after="80"/>
      </w:pPr>
    </w:p>
    <w:p>
      <w:pPr>
        <w:pStyle w:val="Heading1"/>
        <w:pBdr>
          <w:bottom w:val="single" w:color="1B2A4A" w:sz="12" w:space="4"/>
        </w:pBdr>
        <w:spacing w:after="200" w:before="360"/>
      </w:pPr>
      <w:r>
        <w:rPr>
          <w:b/>
          <w:bCs/>
          <w:color w:val="1B2A4A"/>
          <w:sz w:val="32"/>
          <w:szCs w:val="32"/>
        </w:rPr>
        <w:t xml:space="preserve">5. Decision Log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Decisions 1–17 unchanged from v2. New this revision:</w:t>
      </w:r>
    </w:p>
    <w:tbl>
      <w:tblPr>
        <w:tblW w:type="dxa" w:w="936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3120"/>
            <w:shd w:fill="1B2A4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Separate value-band sets per asset category, not one shared generic set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category's real market range differs too much for one set to feel credible (e.g. real estate vs. personal property)</w:t>
            </w:r>
          </w:p>
        </w:tc>
      </w:tr>
      <w:tr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Financial Accounts bands start at ₱1M, no sub-₱1M option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HNW/UHNW positioning — a starting band below ₱1M undercuts the tool's target-audience credibility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estate requires nature-of-use and ownership-structure sub-questions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Feeds Family Home deduction eligibility, the LB-7 co-ownership flag, and prevents double-counting entity-held property</w:t>
            </w:r>
          </w:p>
        </w:tc>
      </w:tr>
      <w:tr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Adopted children added as a distinct heir category, joining the legitimate-child unit pool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reciprocal succession rights confirmed under RA 8552/RA 11642 (LB-9); real gap in the prior data model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Disinheritance-intent flag, joint-account explainer, reserva troncal trip-wire — evaluated, deferred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Retirement benefits dropped entirely (low HNW/UHNW relevance); the other three deprioritized this round, not ruled out permanently</w:t>
            </w:r>
          </w:p>
        </w:tc>
      </w:tr>
      <w:tr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Foreign currency accounts captured in native currency, auto-converted to PHP via BSP reference rate</w:t>
            </w:r>
          </w:p>
        </w:tc>
        <w:tc>
          <w:tcPr>
            <w:tcW w:type="dxa" w:w="3120"/>
            <w:shd w:fill="F2F2F2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Matches worldwide estate inclusion (LB-10) for the assumed PH citizen/resident-alien estate owner; easier and more accurate for clients to enter in the currency they actually think in</w:t>
            </w:r>
          </w:p>
        </w:tc>
      </w:tr>
      <w:tr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Donor's-tax citizenship/situs complexity excluded from scope</w:t>
            </w:r>
          </w:p>
        </w:tc>
        <w:tc>
          <w:tcPr>
            <w:tcW w:type="dxa" w:w="312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Real but genuinely separate rule set (NIRC §98/§104); deferred alongside the existing dual-citizenship exclusion</w:t>
            </w:r>
          </w:p>
        </w:tc>
      </w:tr>
    </w:tbl>
    <w:p>
      <w:pPr>
        <w:spacing w:after="160"/>
      </w:pPr>
    </w:p>
    <w:p>
      <w:pPr>
        <w:spacing w:after="80"/>
      </w:pPr>
    </w:p>
    <w:p>
      <w:pPr>
        <w:pStyle w:val="Heading1"/>
        <w:pBdr>
          <w:bottom w:val="single" w:color="1B2A4A" w:sz="12" w:space="4"/>
        </w:pBdr>
        <w:spacing w:after="200" w:before="360"/>
      </w:pPr>
      <w:r>
        <w:rPr>
          <w:b/>
          <w:bCs/>
          <w:color w:val="1B2A4A"/>
          <w:sz w:val="32"/>
          <w:szCs w:val="32"/>
        </w:rPr>
        <w:t xml:space="preserve">6. Known, Accepted Limitations for v1</w:t>
      </w:r>
    </w:p>
    <w:p>
      <w:pPr>
        <w:spacing w:after="160" w:line="288"/>
      </w:pPr>
      <w:r>
        <w:rPr>
          <w:i w:val="false"/>
          <w:iCs w:val="false"/>
          <w:color w:val="000000"/>
          <w:sz w:val="22"/>
          <w:szCs w:val="22"/>
        </w:rPr>
        <w:t xml:space="preserve">Unchanged from v2 — see that document. Value bands are calibrated to Metro Manila, Baguio, and general PH market data as of this document's writing; they are not location-specific and will need periodic review as markets move.</w:t>
      </w:r>
    </w:p>
    <w:p>
      <w:pPr>
        <w:spacing w:after="80"/>
      </w:pPr>
    </w:p>
    <w:p>
      <w:pPr>
        <w:spacing w:after="160" w:line="288"/>
      </w:pPr>
      <w:r>
        <w:rPr>
          <w:i/>
          <w:iCs/>
          <w:color w:val="666666"/>
          <w:sz w:val="22"/>
          <w:szCs w:val="22"/>
        </w:rPr>
        <w:t xml:space="preserve">This spec, together with the Build Brief and Legal Basis Appendix, forms the complete v3 baseline for Claude Code implementation.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2026-09-10T08:37:40.176Z</dcterms:created>
  <dcterms:modified xsi:type="dcterms:W3CDTF">2026-09-10T08:37:40.176Z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