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B2A4A"/>
          <w:sz w:val="44"/>
          <w:szCs w:val="44"/>
        </w:rPr>
        <w:t xml:space="preserve">HeirIQ — Legal Basis Appendix v3.0</w:t>
      </w:r>
    </w:p>
    <w:p>
      <w:pPr>
        <w:pBdr>
          <w:bottom w:val="single" w:color="B8860B" w:sz="18" w:space="6"/>
        </w:pBdr>
        <w:spacing w:after="240"/>
      </w:pPr>
      <w:r>
        <w:rPr>
          <w:i/>
          <w:iCs/>
          <w:color w:val="666666"/>
          <w:sz w:val="24"/>
          <w:szCs w:val="24"/>
        </w:rPr>
        <w:t xml:space="preserve">Full citation chain and interpretation behind every branch rule in HeirIQ's calculation engine.</w:t>
      </w:r>
    </w:p>
    <w:p>
      <w:pPr>
        <w:spacing w:after="300"/>
      </w:pPr>
      <w:r>
        <w:rPr>
          <w:color w:val="666666"/>
          <w:sz w:val="20"/>
          <w:szCs w:val="20"/>
        </w:rPr>
        <w:t xml:space="preserve">Grounded in the Civil Code, the Family Code, and Supreme Court decisions where noted</w:t>
      </w:r>
    </w:p>
    <w:p>
      <w:pPr>
        <w:spacing w:after="160" w:line="288"/>
      </w:pPr>
      <w:r>
        <w:rPr>
          <w:i w:val="false"/>
          <w:iCs w:val="false"/>
          <w:color w:val="000000"/>
          <w:sz w:val="22"/>
          <w:szCs w:val="22"/>
        </w:rPr>
        <w:t xml:space="preserve">Purpose: the full citation chain and interpretation behind every branch rule in HeirIQ's calculation engine. The Design Spec and Build Brief reference these entries by their short code (e.g., LB-4) rather than re-explaining the law inline. If a rule in the app ever needs to be questioned, defended, or updated, this is the document to check first.</w:t>
      </w:r>
    </w:p>
    <w:p>
      <w:pPr>
        <w:spacing w:after="160" w:line="288"/>
      </w:pPr>
      <w:r>
        <w:rPr>
          <w:i/>
          <w:iCs/>
          <w:color w:val="666666"/>
          <w:sz w:val="22"/>
          <w:szCs w:val="22"/>
        </w:rPr>
        <w:t xml:space="preserve">Grounded in the Civil Code of the Philippines, the Family Code (Executive Order No. 209, as amended), and, where noted, actual Supreme Court decisions — not secondary summaries alone. Verified against primary/official-source text as of this document's writing (Aug 2026).</w:t>
      </w:r>
    </w:p>
    <w:p>
      <w:pPr>
        <w:spacing w:after="160" w:line="288"/>
      </w:pPr>
      <w:r>
        <w:rPr>
          <w:i/>
          <w:iCs/>
          <w:color w:val="666666"/>
          <w:sz w:val="22"/>
          <w:szCs w:val="22"/>
        </w:rPr>
        <w:t xml:space="preserve">v2 added LB-9 (adopted children's succession rights). v3 adds LB-10 (worldwide estate inclusion for citizens/resident aliens, the basis for capturing foreign-currency assets). Donor's-tax citizenship/situs complexity was explicitly discussed and excluded from scope this round — the estate owner is assumed to be a PH citizen or resident alien throughout; a non-resident-alien estate owner remains out of scope per existing Known Limitations.</w:t>
      </w:r>
    </w:p>
    <w:p>
      <w:pPr>
        <w:spacing w:after="80"/>
      </w:pPr>
    </w:p>
    <w:p>
      <w:pPr>
        <w:pStyle w:val="Heading1"/>
        <w:pBdr>
          <w:bottom w:val="single" w:color="1B2A4A" w:sz="12" w:space="4"/>
        </w:pBdr>
        <w:spacing w:after="200" w:before="360"/>
      </w:pPr>
      <w:r>
        <w:rPr>
          <w:b/>
          <w:bCs/>
          <w:color w:val="1B2A4A"/>
          <w:sz w:val="32"/>
          <w:szCs w:val="32"/>
        </w:rPr>
        <w:t xml:space="preserve">LB-1 — Marital Property Regime Defaults</w:t>
      </w:r>
    </w:p>
    <w:p>
      <w:pPr>
        <w:spacing w:after="160" w:line="288"/>
      </w:pPr>
      <w:r>
        <w:rPr>
          <w:i w:val="false"/>
          <w:iCs w:val="false"/>
          <w:color w:val="000000"/>
          <w:sz w:val="22"/>
          <w:szCs w:val="22"/>
        </w:rPr>
        <w:t xml:space="preserve">Rule: Absent a valid prenuptial agreement, marriages celebrated on or after August 3, 1988 default to the Absolute Community of Property (ACP) regime; marriages before that date default to the Conjugal Partnership of Gains (CPG).</w:t>
      </w:r>
    </w:p>
    <w:p>
      <w:pPr>
        <w:spacing w:after="160" w:line="288"/>
      </w:pPr>
      <w:r>
        <w:rPr>
          <w:i w:val="false"/>
          <w:iCs w:val="false"/>
          <w:color w:val="000000"/>
          <w:sz w:val="22"/>
          <w:szCs w:val="22"/>
        </w:rPr>
        <w:t xml:space="preserve">Basis: Family Code, Art. 75 (default regime when no marriage settlement exists), read together with the Code's effectivity date.</w:t>
      </w:r>
    </w:p>
    <w:p>
      <w:pPr>
        <w:spacing w:after="160" w:line="288"/>
      </w:pPr>
      <w:r>
        <w:rPr>
          <w:i w:val="false"/>
          <w:iCs w:val="false"/>
          <w:color w:val="000000"/>
          <w:sz w:val="22"/>
          <w:szCs w:val="22"/>
        </w:rPr>
        <w:t xml:space="preserve">Interpretation: This is the threshold question for every other computation — until the regime is known, it's impossible to say what fraction of any asset belongs to the decedent at all.</w:t>
      </w:r>
    </w:p>
    <w:p>
      <w:pPr>
        <w:spacing w:after="160" w:line="288"/>
      </w:pPr>
      <w:r>
        <w:rPr>
          <w:i w:val="false"/>
          <w:iCs w:val="false"/>
          <w:color w:val="000000"/>
          <w:sz w:val="22"/>
          <w:szCs w:val="22"/>
        </w:rPr>
        <w:t xml:space="preserve">Used in: Build Brief §3.1 (Property Regime Resolution).</w:t>
      </w:r>
    </w:p>
    <w:p>
      <w:pPr>
        <w:spacing w:after="80"/>
      </w:pPr>
    </w:p>
    <w:p>
      <w:pPr>
        <w:pStyle w:val="Heading1"/>
        <w:pBdr>
          <w:bottom w:val="single" w:color="1B2A4A" w:sz="12" w:space="4"/>
        </w:pBdr>
        <w:spacing w:after="200" w:before="360"/>
      </w:pPr>
      <w:r>
        <w:rPr>
          <w:b/>
          <w:bCs/>
          <w:color w:val="1B2A4A"/>
          <w:sz w:val="32"/>
          <w:szCs w:val="32"/>
        </w:rPr>
        <w:t xml:space="preserve">LB-2 — Forced Separation on Remarriage After Death, Without Liquidation</w:t>
      </w:r>
    </w:p>
    <w:p>
      <w:pPr>
        <w:spacing w:after="160" w:line="288"/>
      </w:pPr>
      <w:r>
        <w:rPr>
          <w:i w:val="false"/>
          <w:iCs w:val="false"/>
          <w:color w:val="000000"/>
          <w:sz w:val="22"/>
          <w:szCs w:val="22"/>
        </w:rPr>
        <w:t xml:space="preserve">Rule: If a surviving spouse remarries without first liquidating the community/conjugal property from the terminated first marriage, the subsequent marriage is automatically governed by a mandatory regime of complete separation of property — regardless of what the couple might have otherwise agreed or intended.</w:t>
      </w:r>
    </w:p>
    <w:p>
      <w:pPr>
        <w:spacing w:after="160" w:line="288"/>
      </w:pPr>
      <w:r>
        <w:rPr>
          <w:i w:val="false"/>
          <w:iCs w:val="false"/>
          <w:color w:val="000000"/>
          <w:sz w:val="22"/>
          <w:szCs w:val="22"/>
        </w:rPr>
        <w:t xml:space="preserve">Basis: Family Code, Art. 103 (last paragraph), mirrored for the conjugal partnership regime in Art. 130.</w:t>
      </w:r>
    </w:p>
    <w:p>
      <w:pPr>
        <w:spacing w:after="160" w:line="288"/>
      </w:pPr>
      <w:r>
        <w:rPr>
          <w:i w:val="false"/>
          <w:iCs w:val="false"/>
          <w:color w:val="000000"/>
          <w:sz w:val="22"/>
          <w:szCs w:val="22"/>
        </w:rPr>
        <w:t xml:space="preserve">Interpretation: This is a real, self-executing legal penalty for a very common real-world failure (many widowed people remarry without ever formally settling the first marriage's property). It's fully computable from a single yes/no/not-sure question, with no valuation data required.</w:t>
      </w:r>
    </w:p>
    <w:p>
      <w:pPr>
        <w:spacing w:after="160" w:line="288"/>
      </w:pPr>
      <w:r>
        <w:rPr>
          <w:i w:val="false"/>
          <w:iCs w:val="false"/>
          <w:color w:val="000000"/>
          <w:sz w:val="22"/>
          <w:szCs w:val="22"/>
        </w:rPr>
        <w:t xml:space="preserve">Used in: Design Spec, Section A branch question; Build Brief §3.1 (regime_override = "forced_separation").</w:t>
      </w:r>
    </w:p>
    <w:p>
      <w:pPr>
        <w:spacing w:after="80"/>
      </w:pPr>
    </w:p>
    <w:p>
      <w:pPr>
        <w:pStyle w:val="Heading1"/>
        <w:pBdr>
          <w:bottom w:val="single" w:color="1B2A4A" w:sz="12" w:space="4"/>
        </w:pBdr>
        <w:spacing w:after="200" w:before="360"/>
      </w:pPr>
      <w:r>
        <w:rPr>
          <w:b/>
          <w:bCs/>
          <w:color w:val="1B2A4A"/>
          <w:sz w:val="32"/>
          <w:szCs w:val="32"/>
        </w:rPr>
        <w:t xml:space="preserve">LB-3 — Annulment in Bad Faith: Forfeiture &amp; Disqualification</w:t>
      </w:r>
    </w:p>
    <w:p>
      <w:pPr>
        <w:spacing w:after="160" w:line="288"/>
      </w:pPr>
      <w:r>
        <w:rPr>
          <w:i w:val="false"/>
          <w:iCs w:val="false"/>
          <w:color w:val="000000"/>
          <w:sz w:val="22"/>
          <w:szCs w:val="22"/>
        </w:rPr>
        <w:t xml:space="preserve">Rule: When a voidable marriage is annulled, if either spouse contracted the marriage in bad faith, that spouse's share of the net profits of the community/conjugal property is forfeited to the common children (or, if none, the innocent spouse). Separately, the bad-faith spouse is disqualified from inheriting from the innocent spouse, by both testate and intestate succession.</w:t>
      </w:r>
    </w:p>
    <w:p>
      <w:pPr>
        <w:spacing w:after="160" w:line="288"/>
      </w:pPr>
      <w:r>
        <w:rPr>
          <w:i w:val="false"/>
          <w:iCs w:val="false"/>
          <w:color w:val="000000"/>
          <w:sz w:val="22"/>
          <w:szCs w:val="22"/>
        </w:rPr>
        <w:t xml:space="preserve">Basis: Family Code, Art. 43(5), extended to Art. 45 annulments via Art. 50.</w:t>
      </w:r>
    </w:p>
    <w:p>
      <w:pPr>
        <w:spacing w:after="160" w:line="288"/>
      </w:pPr>
      <w:r>
        <w:rPr>
          <w:i w:val="false"/>
          <w:iCs w:val="false"/>
          <w:color w:val="000000"/>
          <w:sz w:val="22"/>
          <w:szCs w:val="22"/>
        </w:rPr>
        <w:t xml:space="preserve">Interpretation: Two distinct mechanics, same as legal separation (see LB-4) — a lifetime property-liquidation event, and a separate, one-directional succession disqualification. The disqualification only bars the bad-faith party from inheriting from the innocent one — never the reverse.</w:t>
      </w:r>
    </w:p>
    <w:p>
      <w:pPr>
        <w:spacing w:after="160" w:line="288"/>
      </w:pPr>
      <w:r>
        <w:rPr>
          <w:i w:val="false"/>
          <w:iCs w:val="false"/>
          <w:color w:val="000000"/>
          <w:sz w:val="22"/>
          <w:szCs w:val="22"/>
        </w:rPr>
        <w:t xml:space="preserve">Used in: Design Spec, Section A branch question; Build Brief §3.7 (succession-level flag).</w:t>
      </w:r>
    </w:p>
    <w:p>
      <w:pPr>
        <w:spacing w:after="80"/>
      </w:pPr>
    </w:p>
    <w:p>
      <w:pPr>
        <w:pStyle w:val="Heading1"/>
        <w:pBdr>
          <w:bottom w:val="single" w:color="1B2A4A" w:sz="12" w:space="4"/>
        </w:pBdr>
        <w:spacing w:after="200" w:before="360"/>
      </w:pPr>
      <w:r>
        <w:rPr>
          <w:b/>
          <w:bCs/>
          <w:color w:val="1B2A4A"/>
          <w:sz w:val="32"/>
          <w:szCs w:val="32"/>
        </w:rPr>
        <w:t xml:space="preserve">LB-4 — Legal Separation: Two Mechanics, Not One</w:t>
      </w:r>
    </w:p>
    <w:p>
      <w:pPr>
        <w:spacing w:after="160" w:line="288"/>
      </w:pPr>
      <w:r>
        <w:rPr>
          <w:i w:val="false"/>
          <w:iCs w:val="false"/>
          <w:color w:val="000000"/>
          <w:sz w:val="22"/>
          <w:szCs w:val="22"/>
        </w:rPr>
        <w:t xml:space="preserve">Rule, Mechanic A (property liquidation): On a decree of legal separation, the offending spouse forfeits their claim to the "net profits" of the community/conjugal property — legally defined as the increase in the property's value between the time the marriage was celebrated and the time of dissolution (i.e., the appreciation only, not the entire pool).</w:t>
      </w:r>
    </w:p>
    <w:p>
      <w:pPr>
        <w:spacing w:after="160" w:line="288"/>
      </w:pPr>
      <w:r>
        <w:rPr>
          <w:i w:val="false"/>
          <w:iCs w:val="false"/>
          <w:color w:val="000000"/>
          <w:sz w:val="22"/>
          <w:szCs w:val="22"/>
        </w:rPr>
        <w:t xml:space="preserve">Rule, Mechanic B (succession disqualification): The offending spouse is disqualified from inheriting from the innocent spouse by intestate succession, and any will provision favoring them is revoked by operation of law. This bar runs one direction only — it does not stop the innocent spouse from inheriting from the offending one.</w:t>
      </w:r>
    </w:p>
    <w:p>
      <w:pPr>
        <w:spacing w:after="160" w:line="288"/>
      </w:pPr>
      <w:r>
        <w:rPr>
          <w:i w:val="false"/>
          <w:iCs w:val="false"/>
          <w:color w:val="000000"/>
          <w:sz w:val="22"/>
          <w:szCs w:val="22"/>
        </w:rPr>
        <w:t xml:space="preserve">Basis: Family Code, Art. 63(2) and 63(4); the "net profits" definition is set out in Art. 102(4) (for ACP) and cross-applied to CPG via Art. 129. The appreciation-based definition of "net profits" was directly applied by the Supreme Court in Quiao v. Quiao, G.R. No. 176556 (2013).</w:t>
      </w:r>
    </w:p>
    <w:p>
      <w:pPr>
        <w:spacing w:after="160" w:line="288"/>
      </w:pPr>
      <w:r>
        <w:rPr>
          <w:i w:val="false"/>
          <w:iCs w:val="false"/>
          <w:color w:val="000000"/>
          <w:sz w:val="22"/>
          <w:szCs w:val="22"/>
        </w:rPr>
        <w:t xml:space="preserve">Interpretation: Mechanic A requires the community property's value at the time of the marriage — often decades-old, rarely available to a self-service tool — so it should be treated as a descriptive flag, not a computed figure. Mechanic B needs no historical valuation and is fully computable from a single question about which party was found offending.</w:t>
      </w:r>
    </w:p>
    <w:p>
      <w:pPr>
        <w:spacing w:after="160" w:line="288"/>
      </w:pPr>
      <w:r>
        <w:rPr>
          <w:i w:val="false"/>
          <w:iCs w:val="false"/>
          <w:color w:val="000000"/>
          <w:sz w:val="22"/>
          <w:szCs w:val="22"/>
        </w:rPr>
        <w:t xml:space="preserve">Used in: Design Spec, Section A branch question; Build Brief §3.7 (Mechanic B computable; Mechanic A descriptive-only).</w:t>
      </w:r>
    </w:p>
    <w:p>
      <w:pPr>
        <w:spacing w:after="80"/>
      </w:pPr>
    </w:p>
    <w:p>
      <w:pPr>
        <w:pStyle w:val="Heading1"/>
        <w:pBdr>
          <w:bottom w:val="single" w:color="1B2A4A" w:sz="12" w:space="4"/>
        </w:pBdr>
        <w:spacing w:after="200" w:before="360"/>
      </w:pPr>
      <w:r>
        <w:rPr>
          <w:b/>
          <w:bCs/>
          <w:color w:val="1B2A4A"/>
          <w:sz w:val="32"/>
          <w:szCs w:val="32"/>
        </w:rPr>
        <w:t xml:space="preserve">LB-5 — Legitime: Intestate "Unit Method" vs. Testate "Floor + Free Portion"</w:t>
      </w:r>
    </w:p>
    <w:p>
      <w:pPr>
        <w:spacing w:after="160" w:line="288"/>
      </w:pPr>
      <w:r>
        <w:rPr>
          <w:i w:val="false"/>
          <w:iCs w:val="false"/>
          <w:color w:val="000000"/>
          <w:sz w:val="22"/>
          <w:szCs w:val="22"/>
        </w:rPr>
        <w:t xml:space="preserve">These are two different frameworks and must not be blended.</w:t>
      </w:r>
    </w:p>
    <w:p>
      <w:pPr>
        <w:spacing w:after="160" w:line="288"/>
      </w:pPr>
      <w:r>
        <w:rPr>
          <w:i w:val="false"/>
          <w:iCs w:val="false"/>
          <w:color w:val="000000"/>
          <w:sz w:val="22"/>
          <w:szCs w:val="22"/>
        </w:rPr>
        <w:t xml:space="preserve">Intestate (no will) — the default case for most HeirIQ users: the entire estate is divided using a proportional unit method: each legitimate child = 2 units, each illegitimate child = 1 unit, the surviving spouse (when concurring with legitimate children) = 2 units. Total estate ÷ total units = value per unit. This guarantees, by construction, that all legitimate children of the decedent receive exactly equal shares to one another — no room for a will-like favoritism to exist without a will.</w:t>
      </w:r>
    </w:p>
    <w:p>
      <w:pPr>
        <w:spacing w:after="160" w:line="288"/>
      </w:pPr>
      <w:r>
        <w:rPr>
          <w:i w:val="false"/>
          <w:iCs w:val="false"/>
          <w:color w:val="000000"/>
          <w:sz w:val="22"/>
          <w:szCs w:val="22"/>
        </w:rPr>
        <w:t xml:space="preserve">Testate (a will exists): legitimate children collectively receive a fixed legitime floor of 1/2 the estate, split equally among them; the spouse and illegitimate children draw their shares from the remaining free portion, in that priority order; anything left in the free portion may be assigned by the testator however they choose, as long as no heir falls below their individual legitime floor.</w:t>
      </w:r>
    </w:p>
    <w:p>
      <w:pPr>
        <w:spacing w:after="160" w:line="288"/>
      </w:pPr>
      <w:r>
        <w:rPr>
          <w:i w:val="false"/>
          <w:iCs w:val="false"/>
          <w:color w:val="000000"/>
          <w:sz w:val="22"/>
          <w:szCs w:val="22"/>
        </w:rPr>
        <w:t xml:space="preserve">Basis: Civil Code Arts. 887, 888 (legitimate children's 1/2 pool), 892 &amp; 996 (spousal share equal to a legitimate child's), 895 (illegitimate child = half a legitimate child's share), 999 (concurrence rules); confirmed against current practitioner computations and the 1965 Supreme Court case Santillon v. Miranda (on the Art. 996 vs. Art. 892 distinction).</w:t>
      </w:r>
    </w:p>
    <w:p>
      <w:pPr>
        <w:spacing w:after="160" w:line="288"/>
      </w:pPr>
      <w:r>
        <w:rPr>
          <w:i w:val="false"/>
          <w:iCs w:val="false"/>
          <w:color w:val="000000"/>
          <w:sz w:val="22"/>
          <w:szCs w:val="22"/>
        </w:rPr>
        <w:t xml:space="preserve">Interpretation: Since HeirIQ's target users are, by definition, people who haven't done formal estate planning yet, intestate (unit method) should be the default computation mode. Testate mode should only ever compute the guaranteed minimum floor per heir — the tool cannot verify an actual will's terms, since it doesn't capture the will's content as an input.</w:t>
      </w:r>
    </w:p>
    <w:p>
      <w:pPr>
        <w:spacing w:after="160" w:line="288"/>
      </w:pPr>
      <w:r>
        <w:rPr>
          <w:i w:val="false"/>
          <w:iCs w:val="false"/>
          <w:color w:val="000000"/>
          <w:sz w:val="22"/>
          <w:szCs w:val="22"/>
        </w:rPr>
        <w:t xml:space="preserve">Used in: Build Brief §3.6 (full rewrite — replaces the earlier free-portion-only formula).</w:t>
      </w:r>
    </w:p>
    <w:p>
      <w:pPr>
        <w:spacing w:after="80"/>
      </w:pPr>
    </w:p>
    <w:p>
      <w:pPr>
        <w:pStyle w:val="Heading1"/>
        <w:pBdr>
          <w:bottom w:val="single" w:color="1B2A4A" w:sz="12" w:space="4"/>
        </w:pBdr>
        <w:spacing w:after="200" w:before="360"/>
      </w:pPr>
      <w:r>
        <w:rPr>
          <w:b/>
          <w:bCs/>
          <w:color w:val="1B2A4A"/>
          <w:sz w:val="32"/>
          <w:szCs w:val="32"/>
        </w:rPr>
        <w:t xml:space="preserve">LB-6 — Collation, Including the Catch-Up Mechanic</w:t>
      </w:r>
    </w:p>
    <w:p>
      <w:pPr>
        <w:spacing w:after="160" w:line="288"/>
      </w:pPr>
      <w:r>
        <w:rPr>
          <w:i w:val="false"/>
          <w:iCs w:val="false"/>
          <w:color w:val="000000"/>
          <w:sz w:val="22"/>
          <w:szCs w:val="22"/>
        </w:rPr>
        <w:t xml:space="preserve">Rule: Lifetime donations to a compulsory heir are treated as advances on that heir's inheritance, added back (fictitiously, not physically) into the estate's value for legitime purposes. Valuation is frozen at the time of the donation, not current market value. Each heir's full lifetime entitlement (gift + eventual inheritance) is computed as equal to what they'd have received without the gift; whatever they already received via gift is then subtracted from their remaining share at death.</w:t>
      </w:r>
    </w:p>
    <w:p>
      <w:pPr>
        <w:spacing w:after="160" w:line="288"/>
      </w:pPr>
      <w:r>
        <w:rPr>
          <w:i w:val="false"/>
          <w:iCs w:val="false"/>
          <w:color w:val="000000"/>
          <w:sz w:val="22"/>
          <w:szCs w:val="22"/>
        </w:rPr>
        <w:t xml:space="preserve">Basis: Civil Code Arts. 1061, 1071; the frozen-valuation rule confirmed in Vizconde v. CA, G.R. No. 118449 (1998).</w:t>
      </w:r>
    </w:p>
    <w:p>
      <w:pPr>
        <w:spacing w:after="160" w:line="288"/>
      </w:pPr>
      <w:r>
        <w:rPr>
          <w:i w:val="false"/>
          <w:iCs w:val="false"/>
          <w:color w:val="000000"/>
          <w:sz w:val="22"/>
          <w:szCs w:val="22"/>
        </w:rPr>
        <w:t xml:space="preserve">Interpretation, the catch-up mechanic: an unequal lifetime gift between two children (e.g., ₱10M to one, ₱8M to another) is not automatically a legitime violation — the child who received less should receive correspondingly more from what remains at death, to reach parity. The real violation only surfaces if the remaining estate is too small to complete that catch-up — that's the actual condition to flag, not the raw gift-value gap.</w:t>
      </w:r>
    </w:p>
    <w:p>
      <w:pPr>
        <w:spacing w:after="160" w:line="288"/>
      </w:pPr>
      <w:r>
        <w:rPr>
          <w:i w:val="false"/>
          <w:iCs w:val="false"/>
          <w:color w:val="000000"/>
          <w:sz w:val="22"/>
          <w:szCs w:val="22"/>
        </w:rPr>
        <w:t xml:space="preserve">Used in: Build Brief §3.6 (per-heir remaining-entitlement calculation); Results screen (stacked bar: gift-received + remaining-inheritance, per heir).</w:t>
      </w:r>
    </w:p>
    <w:p>
      <w:pPr>
        <w:spacing w:after="80"/>
      </w:pPr>
    </w:p>
    <w:p>
      <w:pPr>
        <w:pStyle w:val="Heading1"/>
        <w:pBdr>
          <w:bottom w:val="single" w:color="1B2A4A" w:sz="12" w:space="4"/>
        </w:pBdr>
        <w:spacing w:after="200" w:before="360"/>
      </w:pPr>
      <w:r>
        <w:rPr>
          <w:b/>
          <w:bCs/>
          <w:color w:val="1B2A4A"/>
          <w:sz w:val="32"/>
          <w:szCs w:val="32"/>
        </w:rPr>
        <w:t xml:space="preserve">LB-7 — Estate Partition to Avoid Forced Co-Ownership</w:t>
      </w:r>
    </w:p>
    <w:p>
      <w:pPr>
        <w:spacing w:after="160" w:line="288"/>
      </w:pPr>
      <w:r>
        <w:rPr>
          <w:i w:val="false"/>
          <w:iCs w:val="false"/>
          <w:color w:val="000000"/>
          <w:sz w:val="22"/>
          <w:szCs w:val="22"/>
        </w:rPr>
        <w:t xml:space="preserve">Rule: A person may partition their own estate — by an act during their lifetime, or by will — assigning specific assets to specific heirs, as long as no heir's legitime is impaired in value. The law does not require every heir to receive a literal physical share of every asset; it requires their legitime's value to be respected.</w:t>
      </w:r>
    </w:p>
    <w:p>
      <w:pPr>
        <w:spacing w:after="160" w:line="288"/>
      </w:pPr>
      <w:r>
        <w:rPr>
          <w:i w:val="false"/>
          <w:iCs w:val="false"/>
          <w:color w:val="000000"/>
          <w:sz w:val="22"/>
          <w:szCs w:val="22"/>
        </w:rPr>
        <w:t xml:space="preserve">Basis: Civil Code Art. 1080.</w:t>
      </w:r>
    </w:p>
    <w:p>
      <w:pPr>
        <w:spacing w:after="160" w:line="288"/>
      </w:pPr>
      <w:r>
        <w:rPr>
          <w:i w:val="false"/>
          <w:iCs w:val="false"/>
          <w:color w:val="000000"/>
          <w:sz w:val="22"/>
          <w:szCs w:val="22"/>
        </w:rPr>
        <w:t xml:space="preserve">Interpretation: This is the actual legal remedy for a common, uncomfortable scenario: preventing an heir the family wants to keep at arm's length (e.g., an unacknowledged or estranged heir) from becoming a literal co-owner of a specific asset like the family home. It only works if the estate has enough other value to fully satisfy that heir's legitime elsewhere — otherwise, a physical co-ownership share, or a negotiated post-death buyout, remains necessary.</w:t>
      </w:r>
    </w:p>
    <w:p>
      <w:pPr>
        <w:spacing w:after="160" w:line="288"/>
      </w:pPr>
      <w:r>
        <w:rPr>
          <w:i w:val="false"/>
          <w:iCs w:val="false"/>
          <w:color w:val="000000"/>
          <w:sz w:val="22"/>
          <w:szCs w:val="22"/>
        </w:rPr>
        <w:t xml:space="preserve">Used in: Results screen, "directional fix" category for any flag involving an heir the family may wish to keep separate from a specific asset (e.g., an illegitimate or estranged heir concurring with the family home).</w:t>
      </w:r>
    </w:p>
    <w:p>
      <w:pPr>
        <w:spacing w:after="80"/>
      </w:pPr>
    </w:p>
    <w:p>
      <w:pPr>
        <w:pStyle w:val="Heading1"/>
        <w:pBdr>
          <w:bottom w:val="single" w:color="1B2A4A" w:sz="12" w:space="4"/>
        </w:pBdr>
        <w:spacing w:after="200" w:before="360"/>
      </w:pPr>
      <w:r>
        <w:rPr>
          <w:b/>
          <w:bCs/>
          <w:color w:val="1B2A4A"/>
          <w:sz w:val="32"/>
          <w:szCs w:val="32"/>
        </w:rPr>
        <w:t xml:space="preserve">LB-8 — No Pre-Death Waivers of Future Inheritance</w:t>
      </w:r>
    </w:p>
    <w:p>
      <w:pPr>
        <w:spacing w:after="160" w:line="288"/>
      </w:pPr>
      <w:r>
        <w:rPr>
          <w:i w:val="false"/>
          <w:iCs w:val="false"/>
          <w:color w:val="000000"/>
          <w:sz w:val="22"/>
          <w:szCs w:val="22"/>
        </w:rPr>
        <w:t xml:space="preserve">Rule: Contracts over a future inheritance are void. A compulsory heir cannot validly waive or sell their legitime while the person they'd inherit from is still alive. A valid renunciation can only happen after death, once succession has actually opened, and must be gratuitous (not bargained for) to avoid being treated as a disguised sale.</w:t>
      </w:r>
    </w:p>
    <w:p>
      <w:pPr>
        <w:spacing w:after="160" w:line="288"/>
      </w:pPr>
      <w:r>
        <w:rPr>
          <w:i w:val="false"/>
          <w:iCs w:val="false"/>
          <w:color w:val="000000"/>
          <w:sz w:val="22"/>
          <w:szCs w:val="22"/>
        </w:rPr>
        <w:t xml:space="preserve">Basis: Civil Code Art. 1347 (contracts on future inheritance are void, except as expressly authorized — e.g., Art. 1080 partitions); Art. 1049 (renunciation only valid post-death).</w:t>
      </w:r>
    </w:p>
    <w:p>
      <w:pPr>
        <w:spacing w:after="160" w:line="288"/>
      </w:pPr>
      <w:r>
        <w:rPr>
          <w:i w:val="false"/>
          <w:iCs w:val="false"/>
          <w:color w:val="000000"/>
          <w:sz w:val="22"/>
          <w:szCs w:val="22"/>
        </w:rPr>
        <w:t xml:space="preserve">Interpretation: This closes off a tempting but unavailable shortcut — a family cannot simply get a difficult or unwelcome heir to sign away their claim in advance. Any resolution has to either restructure the estate before death (LB-7) or negotiate a settlement after death.</w:t>
      </w:r>
    </w:p>
    <w:p>
      <w:pPr>
        <w:spacing w:after="160" w:line="288"/>
      </w:pPr>
      <w:r>
        <w:rPr>
          <w:i w:val="false"/>
          <w:iCs w:val="false"/>
          <w:color w:val="000000"/>
          <w:sz w:val="22"/>
          <w:szCs w:val="22"/>
        </w:rPr>
        <w:t xml:space="preserve">Used in: Results screen, ruling out "get them to waive it now" as a suggested category of resolution — this should never appear as a directional fix.</w:t>
      </w:r>
    </w:p>
    <w:p>
      <w:pPr>
        <w:spacing w:after="80"/>
      </w:pPr>
    </w:p>
    <w:p>
      <w:pPr>
        <w:pStyle w:val="Heading1"/>
        <w:pBdr>
          <w:bottom w:val="single" w:color="1B2A4A" w:sz="12" w:space="4"/>
        </w:pBdr>
        <w:spacing w:after="200" w:before="360"/>
      </w:pPr>
      <w:r>
        <w:rPr>
          <w:b/>
          <w:bCs/>
          <w:color w:val="1B2A4A"/>
          <w:sz w:val="32"/>
          <w:szCs w:val="32"/>
        </w:rPr>
        <w:t xml:space="preserve">LB-9 — Adopted Children's Succession Rights</w:t>
      </w:r>
    </w:p>
    <w:p>
      <w:pPr>
        <w:spacing w:after="160" w:line="288"/>
      </w:pPr>
      <w:r>
        <w:rPr>
          <w:i w:val="false"/>
          <w:iCs w:val="false"/>
          <w:color w:val="000000"/>
          <w:sz w:val="22"/>
          <w:szCs w:val="22"/>
        </w:rPr>
        <w:t xml:space="preserve">Rule: An adopted child has full reciprocal succession rights with the adopter, "without distinction from legitimate filiation" — meaning an adopted child's legitime is legally identical to a biological legitimate child's, in both testate and intestate succession. Adoption also generally severs the child's inheritance rights from their biological parents, subject to a narrow exception.</w:t>
      </w:r>
    </w:p>
    <w:p>
      <w:pPr>
        <w:spacing w:after="160" w:line="288"/>
      </w:pPr>
      <w:r>
        <w:rPr>
          <w:i w:val="false"/>
          <w:iCs w:val="false"/>
          <w:color w:val="000000"/>
          <w:sz w:val="22"/>
          <w:szCs w:val="22"/>
        </w:rPr>
        <w:t xml:space="preserve">Basis: Republic Act No. 8552 (Domestic Adoption Act, 1998), §18; Republic Act No. 11642 (Domestic Administrative Adoption and Alternative Child Care Act, 2022), §43; Civil Code Art. 979; confirmed in In re: Lim (Adoption), G.R. Nos. 168992-93 (2009).</w:t>
      </w:r>
    </w:p>
    <w:p>
      <w:pPr>
        <w:spacing w:after="160" w:line="288"/>
      </w:pPr>
      <w:r>
        <w:rPr>
          <w:i w:val="false"/>
          <w:iCs w:val="false"/>
          <w:color w:val="000000"/>
          <w:sz w:val="22"/>
          <w:szCs w:val="22"/>
        </w:rPr>
        <w:t xml:space="preserve">Interpretation: For HeirIQ's purposes — which only ever computes the estate owner's own estate, never a third party's — the severance-from-biological-parents nuance doesn't require a separate data field. An adopted child simply joins the same unit pool as legitimate children in the intestate unit method (2 units each, no distinction), and shares the same 1/2 legitime pool in testate mode.</w:t>
      </w:r>
    </w:p>
    <w:p>
      <w:pPr>
        <w:spacing w:after="160" w:line="288"/>
      </w:pPr>
      <w:r>
        <w:rPr>
          <w:i w:val="false"/>
          <w:iCs w:val="false"/>
          <w:color w:val="000000"/>
          <w:sz w:val="22"/>
          <w:szCs w:val="22"/>
        </w:rPr>
        <w:t xml:space="preserve">Used in: Build Brief §2 (Data Model — adoptedChildren array), §3.6 (unit method — adopted children join the legitimate-child pool at 2 units each).</w:t>
      </w:r>
    </w:p>
    <w:p>
      <w:pPr>
        <w:spacing w:after="80"/>
      </w:pPr>
    </w:p>
    <w:p>
      <w:pPr>
        <w:pStyle w:val="Heading1"/>
        <w:pBdr>
          <w:bottom w:val="single" w:color="1B2A4A" w:sz="12" w:space="4"/>
        </w:pBdr>
        <w:spacing w:after="200" w:before="360"/>
      </w:pPr>
      <w:r>
        <w:rPr>
          <w:b/>
          <w:bCs/>
          <w:color w:val="1B2A4A"/>
          <w:sz w:val="32"/>
          <w:szCs w:val="32"/>
        </w:rPr>
        <w:t xml:space="preserve">LB-10 — Worldwide Estate Inclusion for Citizens and Resident Aliens</w:t>
      </w:r>
    </w:p>
    <w:p>
      <w:pPr>
        <w:spacing w:after="160" w:line="288"/>
      </w:pPr>
      <w:r>
        <w:rPr>
          <w:i w:val="false"/>
          <w:iCs w:val="false"/>
          <w:color w:val="000000"/>
          <w:sz w:val="22"/>
          <w:szCs w:val="22"/>
        </w:rPr>
        <w:t xml:space="preserve">Rule: For a decedent who is a Philippine citizen (resident or non-resident — including OFWs and dual citizens who retain PH citizenship) or a resident alien (a foreign national actually domiciled in the Philippines), the gross estate includes all property, real or personal, tangible or intangible, wherever situated — worldwide, regardless of where a specific asset is physically or financially kept. This differs only for a non-resident alien decedent (a foreign national not domiciled in the PH), whose gross estate is limited to Philippine-situs property, subject to a reciprocity exception for certain intangibles.</w:t>
      </w:r>
    </w:p>
    <w:p>
      <w:pPr>
        <w:spacing w:after="160" w:line="288"/>
      </w:pPr>
      <w:r>
        <w:rPr>
          <w:i w:val="false"/>
          <w:iCs w:val="false"/>
          <w:color w:val="000000"/>
          <w:sz w:val="22"/>
          <w:szCs w:val="22"/>
        </w:rPr>
        <w:t xml:space="preserve">Basis: NIRC §85, as amended by TRAIN (RA 10963).</w:t>
      </w:r>
    </w:p>
    <w:p>
      <w:pPr>
        <w:spacing w:after="160" w:line="288"/>
      </w:pPr>
      <w:r>
        <w:rPr>
          <w:i w:val="false"/>
          <w:iCs w:val="false"/>
          <w:color w:val="000000"/>
          <w:sz w:val="22"/>
          <w:szCs w:val="22"/>
        </w:rPr>
        <w:t xml:space="preserve">Interpretation: This is the citation that justifies why HeirIQ captures foreign-currency accounts and offshore investments at all, and why it doesn't need to ask about asset location once nationality/residency is established — for the assumed PH citizen/resident-alien estate owner, "kept offshore" has no bearing on inclusion. The tool assumes this classification throughout; a non-resident-alien estate owner (a foreign national not domiciled in the PH) remains out of scope, consistent with the existing exclusion of foreign-situs/dual-citizenship complexity in Known Limitations. Donor's-tax situs rules for the estate owner's own lifetime gifts (a related but distinct question under NIRC §98/§104) were discussed and explicitly excluded from this round's scope.</w:t>
      </w:r>
    </w:p>
    <w:p>
      <w:pPr>
        <w:spacing w:after="160" w:line="288"/>
      </w:pPr>
      <w:r>
        <w:rPr>
          <w:i w:val="false"/>
          <w:iCs w:val="false"/>
          <w:color w:val="000000"/>
          <w:sz w:val="22"/>
          <w:szCs w:val="22"/>
        </w:rPr>
        <w:t xml:space="preserve">Used in: Design Spec Section C3 (foreign-currency entry and conversion); Build Brief §2 (currency field on Financial Accounts), §3.3 (Gross Estate — no situs filtering applied, full converted value counted).</w:t>
      </w:r>
    </w:p>
    <w:p>
      <w:pPr>
        <w:spacing w:after="80"/>
      </w:pPr>
    </w:p>
    <w:p>
      <w:pPr>
        <w:pStyle w:val="Heading1"/>
        <w:pBdr>
          <w:bottom w:val="single" w:color="1B2A4A" w:sz="12" w:space="4"/>
        </w:pBdr>
        <w:spacing w:after="200" w:before="360"/>
      </w:pPr>
      <w:r>
        <w:rPr>
          <w:b/>
          <w:bCs/>
          <w:color w:val="1B2A4A"/>
          <w:sz w:val="32"/>
          <w:szCs w:val="32"/>
        </w:rPr>
        <w:t xml:space="preserve">Quick Reference Table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3120"/>
        <w:gridCol w:w="3120"/>
      </w:tblGrid>
      <w:tr>
        <w:trPr>
          <w:tblHeader/>
        </w:trPr>
        <w:tc>
          <w:tcPr>
            <w:tcW w:type="dxa" w:w="3120"/>
            <w:shd w:fill="1B2A4A" w:val="clear"/>
            <w:tcMar>
              <w:top w:type="dxa" w:w="100"/>
              <w:left w:type="dxa" w:w="120"/>
              <w:bottom w:type="dxa" w:w="100"/>
              <w:right w:type="dxa" w:w="120"/>
            </w:tcMar>
          </w:tcPr>
          <w:p>
            <w:r>
              <w:rPr>
                <w:b/>
                <w:bCs/>
                <w:color w:val="FFFFFF"/>
                <w:sz w:val="20"/>
                <w:szCs w:val="20"/>
              </w:rPr>
              <w:t xml:space="preserve">Code</w:t>
            </w:r>
          </w:p>
        </w:tc>
        <w:tc>
          <w:tcPr>
            <w:tcW w:type="dxa" w:w="3120"/>
            <w:shd w:fill="1B2A4A" w:val="clear"/>
            <w:tcMar>
              <w:top w:type="dxa" w:w="100"/>
              <w:left w:type="dxa" w:w="120"/>
              <w:bottom w:type="dxa" w:w="100"/>
              <w:right w:type="dxa" w:w="120"/>
            </w:tcMar>
          </w:tcPr>
          <w:p>
            <w:r>
              <w:rPr>
                <w:b/>
                <w:bCs/>
                <w:color w:val="FFFFFF"/>
                <w:sz w:val="20"/>
                <w:szCs w:val="20"/>
              </w:rPr>
              <w:t xml:space="preserve">Topic</w:t>
            </w:r>
          </w:p>
        </w:tc>
        <w:tc>
          <w:tcPr>
            <w:tcW w:type="dxa" w:w="3120"/>
            <w:shd w:fill="1B2A4A" w:val="clear"/>
            <w:tcMar>
              <w:top w:type="dxa" w:w="100"/>
              <w:left w:type="dxa" w:w="120"/>
              <w:bottom w:type="dxa" w:w="100"/>
              <w:right w:type="dxa" w:w="120"/>
            </w:tcMar>
          </w:tcPr>
          <w:p>
            <w:r>
              <w:rPr>
                <w:b/>
                <w:bCs/>
                <w:color w:val="FFFFFF"/>
                <w:sz w:val="20"/>
                <w:szCs w:val="20"/>
              </w:rPr>
              <w:t xml:space="preserve">Computable in v1?</w:t>
            </w:r>
          </w:p>
        </w:tc>
      </w:tr>
      <w:tr>
        <w:tc>
          <w:tcPr>
            <w:tcW w:type="dxa" w:w="3120"/>
            <w:shd w:fill="FFFFFF" w:val="clear"/>
            <w:tcMar>
              <w:top w:type="dxa" w:w="90"/>
              <w:left w:type="dxa" w:w="120"/>
              <w:bottom w:type="dxa" w:w="90"/>
              <w:right w:type="dxa" w:w="120"/>
            </w:tcMar>
          </w:tcPr>
          <w:p>
            <w:r>
              <w:rPr>
                <w:sz w:val="20"/>
                <w:szCs w:val="20"/>
              </w:rPr>
              <w:t xml:space="preserve">LB-1</w:t>
            </w:r>
          </w:p>
        </w:tc>
        <w:tc>
          <w:tcPr>
            <w:tcW w:type="dxa" w:w="3120"/>
            <w:shd w:fill="FFFFFF" w:val="clear"/>
            <w:tcMar>
              <w:top w:type="dxa" w:w="90"/>
              <w:left w:type="dxa" w:w="120"/>
              <w:bottom w:type="dxa" w:w="90"/>
              <w:right w:type="dxa" w:w="120"/>
            </w:tcMar>
          </w:tcPr>
          <w:p>
            <w:r>
              <w:rPr>
                <w:sz w:val="20"/>
                <w:szCs w:val="20"/>
              </w:rPr>
              <w:t xml:space="preserve">Marital regime default</w:t>
            </w:r>
          </w:p>
        </w:tc>
        <w:tc>
          <w:tcPr>
            <w:tcW w:type="dxa" w:w="3120"/>
            <w:shd w:fill="FFFFFF" w:val="clear"/>
            <w:tcMar>
              <w:top w:type="dxa" w:w="90"/>
              <w:left w:type="dxa" w:w="120"/>
              <w:bottom w:type="dxa" w:w="90"/>
              <w:right w:type="dxa" w:w="120"/>
            </w:tcMar>
          </w:tcPr>
          <w:p>
            <w:r>
              <w:rPr>
                <w:sz w:val="20"/>
                <w:szCs w:val="20"/>
              </w:rPr>
              <w:t xml:space="preserve">Yes — fully computable</w:t>
            </w:r>
          </w:p>
        </w:tc>
      </w:tr>
      <w:tr>
        <w:tc>
          <w:tcPr>
            <w:tcW w:type="dxa" w:w="3120"/>
            <w:shd w:fill="F2F2F2" w:val="clear"/>
            <w:tcMar>
              <w:top w:type="dxa" w:w="90"/>
              <w:left w:type="dxa" w:w="120"/>
              <w:bottom w:type="dxa" w:w="90"/>
              <w:right w:type="dxa" w:w="120"/>
            </w:tcMar>
          </w:tcPr>
          <w:p>
            <w:r>
              <w:rPr>
                <w:sz w:val="20"/>
                <w:szCs w:val="20"/>
              </w:rPr>
              <w:t xml:space="preserve">LB-2</w:t>
            </w:r>
          </w:p>
        </w:tc>
        <w:tc>
          <w:tcPr>
            <w:tcW w:type="dxa" w:w="3120"/>
            <w:shd w:fill="F2F2F2" w:val="clear"/>
            <w:tcMar>
              <w:top w:type="dxa" w:w="90"/>
              <w:left w:type="dxa" w:w="120"/>
              <w:bottom w:type="dxa" w:w="90"/>
              <w:right w:type="dxa" w:w="120"/>
            </w:tcMar>
          </w:tcPr>
          <w:p>
            <w:r>
              <w:rPr>
                <w:sz w:val="20"/>
                <w:szCs w:val="20"/>
              </w:rPr>
              <w:t xml:space="preserve">Forced separation on remarriage after death</w:t>
            </w:r>
          </w:p>
        </w:tc>
        <w:tc>
          <w:tcPr>
            <w:tcW w:type="dxa" w:w="3120"/>
            <w:shd w:fill="F2F2F2" w:val="clear"/>
            <w:tcMar>
              <w:top w:type="dxa" w:w="90"/>
              <w:left w:type="dxa" w:w="120"/>
              <w:bottom w:type="dxa" w:w="90"/>
              <w:right w:type="dxa" w:w="120"/>
            </w:tcMar>
          </w:tcPr>
          <w:p>
            <w:r>
              <w:rPr>
                <w:sz w:val="20"/>
                <w:szCs w:val="20"/>
              </w:rPr>
              <w:t xml:space="preserve">Yes — fully computable</w:t>
            </w:r>
          </w:p>
        </w:tc>
      </w:tr>
      <w:tr>
        <w:tc>
          <w:tcPr>
            <w:tcW w:type="dxa" w:w="3120"/>
            <w:shd w:fill="FFFFFF" w:val="clear"/>
            <w:tcMar>
              <w:top w:type="dxa" w:w="90"/>
              <w:left w:type="dxa" w:w="120"/>
              <w:bottom w:type="dxa" w:w="90"/>
              <w:right w:type="dxa" w:w="120"/>
            </w:tcMar>
          </w:tcPr>
          <w:p>
            <w:r>
              <w:rPr>
                <w:sz w:val="20"/>
                <w:szCs w:val="20"/>
              </w:rPr>
              <w:t xml:space="preserve">LB-3</w:t>
            </w:r>
          </w:p>
        </w:tc>
        <w:tc>
          <w:tcPr>
            <w:tcW w:type="dxa" w:w="3120"/>
            <w:shd w:fill="FFFFFF" w:val="clear"/>
            <w:tcMar>
              <w:top w:type="dxa" w:w="90"/>
              <w:left w:type="dxa" w:w="120"/>
              <w:bottom w:type="dxa" w:w="90"/>
              <w:right w:type="dxa" w:w="120"/>
            </w:tcMar>
          </w:tcPr>
          <w:p>
            <w:r>
              <w:rPr>
                <w:sz w:val="20"/>
                <w:szCs w:val="20"/>
              </w:rPr>
              <w:t xml:space="preserve">Annulment bad faith — forfeiture &amp; disqualification</w:t>
            </w:r>
          </w:p>
        </w:tc>
        <w:tc>
          <w:tcPr>
            <w:tcW w:type="dxa" w:w="3120"/>
            <w:shd w:fill="FFFFFF" w:val="clear"/>
            <w:tcMar>
              <w:top w:type="dxa" w:w="90"/>
              <w:left w:type="dxa" w:w="120"/>
              <w:bottom w:type="dxa" w:w="90"/>
              <w:right w:type="dxa" w:w="120"/>
            </w:tcMar>
          </w:tcPr>
          <w:p>
            <w:r>
              <w:rPr>
                <w:sz w:val="20"/>
                <w:szCs w:val="20"/>
              </w:rPr>
              <w:t xml:space="preserve">Disqualification: yes. Forfeiture: descriptive flag only</w:t>
            </w:r>
          </w:p>
        </w:tc>
      </w:tr>
      <w:tr>
        <w:tc>
          <w:tcPr>
            <w:tcW w:type="dxa" w:w="3120"/>
            <w:shd w:fill="F2F2F2" w:val="clear"/>
            <w:tcMar>
              <w:top w:type="dxa" w:w="90"/>
              <w:left w:type="dxa" w:w="120"/>
              <w:bottom w:type="dxa" w:w="90"/>
              <w:right w:type="dxa" w:w="120"/>
            </w:tcMar>
          </w:tcPr>
          <w:p>
            <w:r>
              <w:rPr>
                <w:sz w:val="20"/>
                <w:szCs w:val="20"/>
              </w:rPr>
              <w:t xml:space="preserve">LB-4</w:t>
            </w:r>
          </w:p>
        </w:tc>
        <w:tc>
          <w:tcPr>
            <w:tcW w:type="dxa" w:w="3120"/>
            <w:shd w:fill="F2F2F2" w:val="clear"/>
            <w:tcMar>
              <w:top w:type="dxa" w:w="90"/>
              <w:left w:type="dxa" w:w="120"/>
              <w:bottom w:type="dxa" w:w="90"/>
              <w:right w:type="dxa" w:w="120"/>
            </w:tcMar>
          </w:tcPr>
          <w:p>
            <w:r>
              <w:rPr>
                <w:sz w:val="20"/>
                <w:szCs w:val="20"/>
              </w:rPr>
              <w:t xml:space="preserve">Legal separation — two mechanics</w:t>
            </w:r>
          </w:p>
        </w:tc>
        <w:tc>
          <w:tcPr>
            <w:tcW w:type="dxa" w:w="3120"/>
            <w:shd w:fill="F2F2F2" w:val="clear"/>
            <w:tcMar>
              <w:top w:type="dxa" w:w="90"/>
              <w:left w:type="dxa" w:w="120"/>
              <w:bottom w:type="dxa" w:w="90"/>
              <w:right w:type="dxa" w:w="120"/>
            </w:tcMar>
          </w:tcPr>
          <w:p>
            <w:r>
              <w:rPr>
                <w:sz w:val="20"/>
                <w:szCs w:val="20"/>
              </w:rPr>
              <w:t xml:space="preserve">Disqualification: yes. Net-profit forfeiture: descriptive flag only</w:t>
            </w:r>
          </w:p>
        </w:tc>
      </w:tr>
      <w:tr>
        <w:tc>
          <w:tcPr>
            <w:tcW w:type="dxa" w:w="3120"/>
            <w:shd w:fill="FFFFFF" w:val="clear"/>
            <w:tcMar>
              <w:top w:type="dxa" w:w="90"/>
              <w:left w:type="dxa" w:w="120"/>
              <w:bottom w:type="dxa" w:w="90"/>
              <w:right w:type="dxa" w:w="120"/>
            </w:tcMar>
          </w:tcPr>
          <w:p>
            <w:r>
              <w:rPr>
                <w:sz w:val="20"/>
                <w:szCs w:val="20"/>
              </w:rPr>
              <w:t xml:space="preserve">LB-5</w:t>
            </w:r>
          </w:p>
        </w:tc>
        <w:tc>
          <w:tcPr>
            <w:tcW w:type="dxa" w:w="3120"/>
            <w:shd w:fill="FFFFFF" w:val="clear"/>
            <w:tcMar>
              <w:top w:type="dxa" w:w="90"/>
              <w:left w:type="dxa" w:w="120"/>
              <w:bottom w:type="dxa" w:w="90"/>
              <w:right w:type="dxa" w:w="120"/>
            </w:tcMar>
          </w:tcPr>
          <w:p>
            <w:r>
              <w:rPr>
                <w:sz w:val="20"/>
                <w:szCs w:val="20"/>
              </w:rPr>
              <w:t xml:space="preserve">Legitime — intestate vs. testate</w:t>
            </w:r>
          </w:p>
        </w:tc>
        <w:tc>
          <w:tcPr>
            <w:tcW w:type="dxa" w:w="3120"/>
            <w:shd w:fill="FFFFFF" w:val="clear"/>
            <w:tcMar>
              <w:top w:type="dxa" w:w="90"/>
              <w:left w:type="dxa" w:w="120"/>
              <w:bottom w:type="dxa" w:w="90"/>
              <w:right w:type="dxa" w:w="120"/>
            </w:tcMar>
          </w:tcPr>
          <w:p>
            <w:r>
              <w:rPr>
                <w:sz w:val="20"/>
                <w:szCs w:val="20"/>
              </w:rPr>
              <w:t xml:space="preserve">Intestate: yes, primary mode. Testate: floor only, not full verification</w:t>
            </w:r>
          </w:p>
        </w:tc>
      </w:tr>
      <w:tr>
        <w:tc>
          <w:tcPr>
            <w:tcW w:type="dxa" w:w="3120"/>
            <w:shd w:fill="F2F2F2" w:val="clear"/>
            <w:tcMar>
              <w:top w:type="dxa" w:w="90"/>
              <w:left w:type="dxa" w:w="120"/>
              <w:bottom w:type="dxa" w:w="90"/>
              <w:right w:type="dxa" w:w="120"/>
            </w:tcMar>
          </w:tcPr>
          <w:p>
            <w:r>
              <w:rPr>
                <w:sz w:val="20"/>
                <w:szCs w:val="20"/>
              </w:rPr>
              <w:t xml:space="preserve">LB-6</w:t>
            </w:r>
          </w:p>
        </w:tc>
        <w:tc>
          <w:tcPr>
            <w:tcW w:type="dxa" w:w="3120"/>
            <w:shd w:fill="F2F2F2" w:val="clear"/>
            <w:tcMar>
              <w:top w:type="dxa" w:w="90"/>
              <w:left w:type="dxa" w:w="120"/>
              <w:bottom w:type="dxa" w:w="90"/>
              <w:right w:type="dxa" w:w="120"/>
            </w:tcMar>
          </w:tcPr>
          <w:p>
            <w:r>
              <w:rPr>
                <w:sz w:val="20"/>
                <w:szCs w:val="20"/>
              </w:rPr>
              <w:t xml:space="preserve">Collation &amp; catch-up</w:t>
            </w:r>
          </w:p>
        </w:tc>
        <w:tc>
          <w:tcPr>
            <w:tcW w:type="dxa" w:w="3120"/>
            <w:shd w:fill="F2F2F2" w:val="clear"/>
            <w:tcMar>
              <w:top w:type="dxa" w:w="90"/>
              <w:left w:type="dxa" w:w="120"/>
              <w:bottom w:type="dxa" w:w="90"/>
              <w:right w:type="dxa" w:w="120"/>
            </w:tcMar>
          </w:tcPr>
          <w:p>
            <w:r>
              <w:rPr>
                <w:sz w:val="20"/>
                <w:szCs w:val="20"/>
              </w:rPr>
              <w:t xml:space="preserve">Yes — fully computable given gift value + date</w:t>
            </w:r>
          </w:p>
        </w:tc>
      </w:tr>
      <w:tr>
        <w:tc>
          <w:tcPr>
            <w:tcW w:type="dxa" w:w="3120"/>
            <w:shd w:fill="FFFFFF" w:val="clear"/>
            <w:tcMar>
              <w:top w:type="dxa" w:w="90"/>
              <w:left w:type="dxa" w:w="120"/>
              <w:bottom w:type="dxa" w:w="90"/>
              <w:right w:type="dxa" w:w="120"/>
            </w:tcMar>
          </w:tcPr>
          <w:p>
            <w:r>
              <w:rPr>
                <w:sz w:val="20"/>
                <w:szCs w:val="20"/>
              </w:rPr>
              <w:t xml:space="preserve">LB-7</w:t>
            </w:r>
          </w:p>
        </w:tc>
        <w:tc>
          <w:tcPr>
            <w:tcW w:type="dxa" w:w="3120"/>
            <w:shd w:fill="FFFFFF" w:val="clear"/>
            <w:tcMar>
              <w:top w:type="dxa" w:w="90"/>
              <w:left w:type="dxa" w:w="120"/>
              <w:bottom w:type="dxa" w:w="90"/>
              <w:right w:type="dxa" w:w="120"/>
            </w:tcMar>
          </w:tcPr>
          <w:p>
            <w:r>
              <w:rPr>
                <w:sz w:val="20"/>
                <w:szCs w:val="20"/>
              </w:rPr>
              <w:t xml:space="preserve">Partition to avoid co-ownership</w:t>
            </w:r>
          </w:p>
        </w:tc>
        <w:tc>
          <w:tcPr>
            <w:tcW w:type="dxa" w:w="3120"/>
            <w:shd w:fill="FFFFFF" w:val="clear"/>
            <w:tcMar>
              <w:top w:type="dxa" w:w="90"/>
              <w:left w:type="dxa" w:w="120"/>
              <w:bottom w:type="dxa" w:w="90"/>
              <w:right w:type="dxa" w:w="120"/>
            </w:tcMar>
          </w:tcPr>
          <w:p>
            <w:r>
              <w:rPr>
                <w:sz w:val="20"/>
                <w:szCs w:val="20"/>
              </w:rPr>
              <w:t xml:space="preserve">Not computed — surfaced as a directional-fix category only</w:t>
            </w:r>
          </w:p>
        </w:tc>
      </w:tr>
      <w:tr>
        <w:tc>
          <w:tcPr>
            <w:tcW w:type="dxa" w:w="3120"/>
            <w:shd w:fill="F2F2F2" w:val="clear"/>
            <w:tcMar>
              <w:top w:type="dxa" w:w="90"/>
              <w:left w:type="dxa" w:w="120"/>
              <w:bottom w:type="dxa" w:w="90"/>
              <w:right w:type="dxa" w:w="120"/>
            </w:tcMar>
          </w:tcPr>
          <w:p>
            <w:r>
              <w:rPr>
                <w:sz w:val="20"/>
                <w:szCs w:val="20"/>
              </w:rPr>
              <w:t xml:space="preserve">LB-8</w:t>
            </w:r>
          </w:p>
        </w:tc>
        <w:tc>
          <w:tcPr>
            <w:tcW w:type="dxa" w:w="3120"/>
            <w:shd w:fill="F2F2F2" w:val="clear"/>
            <w:tcMar>
              <w:top w:type="dxa" w:w="90"/>
              <w:left w:type="dxa" w:w="120"/>
              <w:bottom w:type="dxa" w:w="90"/>
              <w:right w:type="dxa" w:w="120"/>
            </w:tcMar>
          </w:tcPr>
          <w:p>
            <w:r>
              <w:rPr>
                <w:sz w:val="20"/>
                <w:szCs w:val="20"/>
              </w:rPr>
              <w:t xml:space="preserve">No pre-death waivers</w:t>
            </w:r>
          </w:p>
        </w:tc>
        <w:tc>
          <w:tcPr>
            <w:tcW w:type="dxa" w:w="3120"/>
            <w:shd w:fill="F2F2F2" w:val="clear"/>
            <w:tcMar>
              <w:top w:type="dxa" w:w="90"/>
              <w:left w:type="dxa" w:w="120"/>
              <w:bottom w:type="dxa" w:w="90"/>
              <w:right w:type="dxa" w:w="120"/>
            </w:tcMar>
          </w:tcPr>
          <w:p>
            <w:r>
              <w:rPr>
                <w:sz w:val="20"/>
                <w:szCs w:val="20"/>
              </w:rPr>
              <w:t xml:space="preserve">Not computed — used to exclude an invalid "fix" from ever being suggested</w:t>
            </w:r>
          </w:p>
        </w:tc>
      </w:tr>
      <w:tr>
        <w:tc>
          <w:tcPr>
            <w:tcW w:type="dxa" w:w="3120"/>
            <w:shd w:fill="FFFFFF" w:val="clear"/>
            <w:tcMar>
              <w:top w:type="dxa" w:w="90"/>
              <w:left w:type="dxa" w:w="120"/>
              <w:bottom w:type="dxa" w:w="90"/>
              <w:right w:type="dxa" w:w="120"/>
            </w:tcMar>
          </w:tcPr>
          <w:p>
            <w:r>
              <w:rPr>
                <w:sz w:val="20"/>
                <w:szCs w:val="20"/>
              </w:rPr>
              <w:t xml:space="preserve">LB-9</w:t>
            </w:r>
          </w:p>
        </w:tc>
        <w:tc>
          <w:tcPr>
            <w:tcW w:type="dxa" w:w="3120"/>
            <w:shd w:fill="FFFFFF" w:val="clear"/>
            <w:tcMar>
              <w:top w:type="dxa" w:w="90"/>
              <w:left w:type="dxa" w:w="120"/>
              <w:bottom w:type="dxa" w:w="90"/>
              <w:right w:type="dxa" w:w="120"/>
            </w:tcMar>
          </w:tcPr>
          <w:p>
            <w:r>
              <w:rPr>
                <w:sz w:val="20"/>
                <w:szCs w:val="20"/>
              </w:rPr>
              <w:t xml:space="preserve">Adopted children's succession rights</w:t>
            </w:r>
          </w:p>
        </w:tc>
        <w:tc>
          <w:tcPr>
            <w:tcW w:type="dxa" w:w="3120"/>
            <w:shd w:fill="FFFFFF" w:val="clear"/>
            <w:tcMar>
              <w:top w:type="dxa" w:w="90"/>
              <w:left w:type="dxa" w:w="120"/>
              <w:bottom w:type="dxa" w:w="90"/>
              <w:right w:type="dxa" w:w="120"/>
            </w:tcMar>
          </w:tcPr>
          <w:p>
            <w:r>
              <w:rPr>
                <w:sz w:val="20"/>
                <w:szCs w:val="20"/>
              </w:rPr>
              <w:t xml:space="preserve">Yes — fully computable, joins the legitimate-child unit pool</w:t>
            </w:r>
          </w:p>
        </w:tc>
      </w:tr>
      <w:tr>
        <w:tc>
          <w:tcPr>
            <w:tcW w:type="dxa" w:w="3120"/>
            <w:shd w:fill="F2F2F2" w:val="clear"/>
            <w:tcMar>
              <w:top w:type="dxa" w:w="90"/>
              <w:left w:type="dxa" w:w="120"/>
              <w:bottom w:type="dxa" w:w="90"/>
              <w:right w:type="dxa" w:w="120"/>
            </w:tcMar>
          </w:tcPr>
          <w:p>
            <w:r>
              <w:rPr>
                <w:sz w:val="20"/>
                <w:szCs w:val="20"/>
              </w:rPr>
              <w:t xml:space="preserve">LB-10</w:t>
            </w:r>
          </w:p>
        </w:tc>
        <w:tc>
          <w:tcPr>
            <w:tcW w:type="dxa" w:w="3120"/>
            <w:shd w:fill="F2F2F2" w:val="clear"/>
            <w:tcMar>
              <w:top w:type="dxa" w:w="90"/>
              <w:left w:type="dxa" w:w="120"/>
              <w:bottom w:type="dxa" w:w="90"/>
              <w:right w:type="dxa" w:w="120"/>
            </w:tcMar>
          </w:tcPr>
          <w:p>
            <w:r>
              <w:rPr>
                <w:sz w:val="20"/>
                <w:szCs w:val="20"/>
              </w:rPr>
              <w:t xml:space="preserve">Worldwide estate inclusion for citizens/resident aliens</w:t>
            </w:r>
          </w:p>
        </w:tc>
        <w:tc>
          <w:tcPr>
            <w:tcW w:type="dxa" w:w="3120"/>
            <w:shd w:fill="F2F2F2" w:val="clear"/>
            <w:tcMar>
              <w:top w:type="dxa" w:w="90"/>
              <w:left w:type="dxa" w:w="120"/>
              <w:bottom w:type="dxa" w:w="90"/>
              <w:right w:type="dxa" w:w="120"/>
            </w:tcMar>
          </w:tcPr>
          <w:p>
            <w:r>
              <w:rPr>
                <w:sz w:val="20"/>
                <w:szCs w:val="20"/>
              </w:rPr>
              <w:t xml:space="preserve">Yes — no situs filtering needed; foreign currency converted and counted in full</w:t>
            </w:r>
          </w:p>
        </w:tc>
      </w:tr>
    </w:tbl>
    <w:p>
      <w:pPr>
        <w:spacing w:after="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2026-09-10T08:37:39.966Z</dcterms:created>
  <dcterms:modified xsi:type="dcterms:W3CDTF">2026-09-10T08:37:39.976Z</dcterms:modified>
</cp:coreProperties>
</file>

<file path=docProps/custom.xml><?xml version="1.0" encoding="utf-8"?>
<Properties xmlns="http://schemas.openxmlformats.org/officeDocument/2006/custom-properties" xmlns:vt="http://schemas.openxmlformats.org/officeDocument/2006/docPropsVTypes"/>
</file>