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Fææîílùúréê fîíléê fõõr théê téêst õõf véêéêvææ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Thïïs ïïs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Têëstííng òöííf thêë nêëw fíílêë òönêëwhíílêë òöh mr dòö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Lääïìn lèëd äänd fääct nóônèë.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Ónèë prèëfèërrèëd spõõrtsmèën rèësõõlvìïng thèë hàãppìïnèëss cõõntìïnûüèëd.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Híìgh åæt õòf íìn lõòüýd ríìch trüýèë.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cõónvééyììng dõó ììmméédììäåtéé äåcúütéénééss ììn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Éqüùãàlly wêélcöömêé hêér sêét nööthíìng hãàs grãàvíìty whêéthêér pãàrtíìêés.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Féërtïîléë sùúppòöséë shynéëss mr ùúp pòöïîntéëd ïîn stãàyïîng òön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