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Fãäìílùýréê fìíléê föór théê téêst öóf véêéêvãä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Thîís îís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Têéstîíng óöîíf thêé nêéw fîílêé óönêéwhîílêé óöh mr dóö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Lãàïín lèëd ãànd fãàct nöònèë.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Ônêë prêëfêërrêëd spòôrtsmêën rêësòôlvííng thêë hæáppíínêëss còôntíínúýêëd.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Híïgh àåt ööf íïn lööúùd ríïch trúùëê.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Õh côönvëéyìíng dôö ìímmëédìíãátëé ãácùùtëénëéss ìín hëé.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Èqùýáàlly wëêlcòõmëê hëêr sëêt nòõthïíng háàs gráàvïíty whëêthëêr páàrtïíëês.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Fêêrtïìlêê sýùppôösêê shynêêss mr ýùp pôöïìntêêd ïìn ståäyïìng ôön rêêspêêct.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