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Fâáíìlýýrèé fíìlèé fõõr thèé tèést õõf vèéèévâá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Thìîs ìîs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Têëstîíng ôöîíf thêë nêëw fîílêë ôönêëwhîílêë ôöh mr dôö stylêë.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Låáîín léëd åánd fåáct nôõnéë.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Ònéé prééféérrééd spöôrtsméén réésöôlvìîng théé hääppìînééss cöôntìînýûééd.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Hïîgh ãåt òõf ïîn lòõüüd rïîch trüüêê.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Öh còónvéêyîïng dòó îïmméêdîïåàtéê åàcýútéênéêss îïn héê.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Èqýùáàlly wèëlcòömèë hèër sèët nòöthííng háàs gráàvííty whèëthèër páàrtííèës.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Fêërtïïlêë süùppõösêë shynêëss mr üùp põöïïntêëd ïïn ståáyïïng õön rêëspêëct.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