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Wòõrd Dòõcüúméènts Téèmplããtéè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Mâåììn hëëâådììng: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Úséê théê Héêäådìíng 1 styléê fôör prìímäåry héêäådìíngs sôö thäåt scréêéên réêäådéêrs cäån ìídéêntìífy théêm äås súùch.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nóõt áálrèéáády, máánýýáálly cháángèé yóõýýr hèéáádîïng 1 stylèé tóõ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sãàns sééríïf (éé.g. Ãríïãàl, Véérdãànãà, Tréébüüchéét õör Cãàlíïbríï),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thïís fóõrmåättïíng åäs yóõûýr dëêfåäûýlt fóõr thïís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Súüb Hèèäádîîngs: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Úsëë Hëëããdîíng 2 stylëë fòõr súýb hëëããdîíngs.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nòöt âãlrêêâãdy, mâãnýýâãlly châãngêê yòöýýr hêêâãdìîng 2 stylêê tòö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sêërìíf (êë.g. Ãrìíæäl, Vêërdæänæä, Trêëbùüchêët òõr Cæälìíbrìí),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Thêên sêêt thîïs föòrmãättîïng ãäs yöòùúr dêêfãäùúlt föòr thîïs stylêê.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Hèèáådîîngs: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Hëëæàdìíng 3 fõòr súüb súüb-hëëæàdìíngs.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ââlrëëââdy, mâânúúââlly châângëë yôôúúr hëëââdîîng 2 stylëë tôô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sëërïíf (ëë.g. Ârïíäál, Vëërdäánäá, Trëëbûûchëët öôr Cäálïíbrïí),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thíìs fòörmâáttíìng âás yòöýúr déêfâáýúlt fòör thíìs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Pâårâågrâåph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Pæäræägræäphs shööýýld nööt béê styléêd æäs héêæädîíngs.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Päâräâgräâphs shóôúùld bëë ‘nóôrmäâl’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shôöüùld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Sáâns sêêrììf fòönt, 12 pòöììnt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spææcííng (ëéxcëépt fóõr líísts óõf bùýllëét póõíínts)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æãlìîgnééd ìînstééæãd ôõf júûstìîfìîééd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thìís fòórmãáttìíng ãás yòóúûr dèëfãáúûlt fòór thìís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Yóõúûr dóõcúûmèênt shóõúûld âálsóõ: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Lêèæávêè süùffîìcîìêènt whîìtêè spæácêè æát êèîìthêèr sîìdêè ôòf thêè pæágêè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Ávöòíîd üüsíîng blöòck cääpíîtääls öòr íîtäälíîcs.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bööld töö mãækëë tëëxt stãænd ööûüt ïínstëëãæd.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åàmêënd dêëfåàýùlt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Áméénd théé styléé ìïn lìïnéé wìïth théé åäbòövéé gúûìïdéélìïnéés théén rìïght clìïck théé styléé ìïn qúûééstìïòön úûndéér théé hòöméé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Chôòôòsêê ‘môòdíïfy’ frôòm thêê drôòp dôòwn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òópêèn ââ bòóx.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Wìîthìîn thêè bòóx, êènsùúrêè thåät thêè stylêè ìîs fòórmåättêèd tòó yòóùúr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 ëëxâãmplëë, ííf ‘íítâãlíícs’ íís chëëckëëd, üýnchëëck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Chôôôôsëè thëè râádíîôô bùýttôôn thâát stâátëès: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döócüûmèénts båãsèéd öón thìís tèémplåãtèé’, åãnd clìíck ‘öókåãy’.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Töô äámêènd päáräágräáph dêèfäáýültìïng: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clíîck ‘päåräågräåph’ üùndèèr thèè höömèè täåb.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Ênsüùrèé yõôüùr æælïígnmèént ïís sèét tõô ‘lèéft’ æænd lïínèé spææcïíng ïís sèét tõô ‘1.5 lïínèés’.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Õncêé yõôùúr sêéttîîngs äãrêé cõôrrêéct clîîck ‘dêéfäãùúlt’.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‘yêês’ òön thêê rêêsùültïîng ‘Ãrêê yòöùür sùürêê’ mêêssáågêê.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tëèst yöõùúr nëèw sëèttîìngs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Ôpëën áâ nëëw dòôcüúmëënt áând tëëst ëëáâch hëëáâdìíng áând páâráâgráâph stylëë tòô ëënsüúrëë áâll sëëttìíngs háâvëë bëëëën sáâvëëd.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Táäblêé Úsáägêé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Cöònstrýúct täãbléës töò réëäãd löògîìcäãlly fröòm léëft töò rîìght, töòp töò böòttöòm öòrdéër.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Tãábléës wïíth cóölüûmn héëãádïíngs ïín théë tóöp róöw müûst hãávéë théë tóöp róöw fóörmãáttéëd ãás ãá héëãádéër 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Tõö sëêt àæ tàæblëê hëêàædëêr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Hïïghlïïght théè tõõp rõõw õõf théè täãbléè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 clïíck tòó dïíspláãy êèdïítïíng òóptïíòóns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Tâäblèé Pròöpèértïìèés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frôóm thëè líìst.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 Tâàblëë Prõõpëërtííëës wííndõõw wííll bëë díísplâàyëëd; clííck õõn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öõptïíöõn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Rëêpëêäàt äàs hëêäàdëêr äàt thëê tõóp õóf ëêäàch päàgëê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Îmåàgëês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Áltèêrnåätíìvèê öõr Ált tèêxt íìs rèêqüùíìrèêd föõr åäll íìmåägèês íìn åä döõcüùmèênt (èêxclüùdíìng püùrèêly dèêcöõråätíìvèê íìmåägèês wíìthöõüùt mèêåäníìngfüùl cöõntèênt).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ôòn thêë íìmâægêë;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Fõórmäàt Pïíctùúrêë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Fõörmâät Pîîctúûrëè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díìàãlôög bôöx wíìll àãppëèàãr.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Áltèërnããtîìvèë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bóöx, typëé ìín thëé dëéscrìíptìíóön óöf thëé ìímáægëé.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Ræätïíöõnæälêë föõr föõllöõwïíng Clêëæär Prïínt Gúúïídêëlïínêës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Éxåàmpléë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Èxäåmpléé Â ïîs Tïîméés Nééw Röömäån, sïîzéé téén, wïîth sïîngléé späåcïîng.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Ëxãæmpléé B íîs Àríîãæl, síîzéé twéélvéé wíîth 1.5 spãæcíîng.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yõöýû càån séèéè, smàålléèr fõönt sïìzéès, sïìngléè spàåcïìng àånd séèrïìf fõönts àåréè hàårdéèr tõö réèàåd.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Âddìîtìîôònâãlly, ìît ìîs ééâãsìîéér tôò kéééép ôònéé’s plâãcéé ôòn âã pâãgéé wìîth lééft âãlìîgnééd tééxt, âãs ìîn ééxâãmpléé B, âãs lééft âãlìîgnméént gìîvéés théé bôòdy ôòf théé tééxt âã spéécìîfìîc shâãpéé âãnd gìîvéés ýùnìîfôòrmìîty béétwéééén wôòrds.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Êxãámplëê Â, whîîch îîs jýûstîîfîîëêd, hãás nóó nãátýûrãál shãápëê.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Füúrthëérmôòrëé, bôòld prîìnt stáänds ôòüút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æánd dôöêés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nôöt dïìstôört thêé shàápêé ôöf têéxt àás ïìtàálïìcs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åänd úùndèêrlìínìíng döõ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FÎNÀLLY, BLÔCK CÀPÎTÀLS CÀN BÈ DÎFFÎCÛLT TÔ FÔLLÔW ÀS BLÔCK CÀPÎTÀLS RÈMÔVÈ THÈ NÀTÛRÀL SHÀPÈ ÔF WÔRDS, TÛRNÎNG THÈM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Clëêæár læáyöôýùt æállöôws öônëê töô föôcýùs öôn thëê cöôntëênt öôf vììsýùæál mæátëêrììæáls ræáthëêr thæán thëê föôrmæát.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Êxâãmplëê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Ëxáâmplêë Æ ìîs Tìîmêës Nêëw Ròómáân, sìîzêë têën, wìîth sìînglêë spáâcìîng.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Éxåämplëé B îîs Ãrîîåäl, sîîzëé twëélvëé wîîth 1.5 spåäcîîng.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yôöüû cåân sêëêë, småâllêër fôönt sìïzêës, sìïnglêë spåâcìïng åând sêërìïf fôönts åârêë håârdêër tôö rêëåâd.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Äddìïtìïôönâälly, ìït ìïs éêâäsìïéêr tôö kéêéêp ôönéê’s plâäcéê ôön âä pâägéê wìïth léêft âälìïgnéêd téêxt, âäs ìïn éêxâämpléê B, âäs léêft âälìïgnméênt gìïvéês théê bôödy ôöf théê téêxt âä spéêcìïfìïc shâäpéê âänd gìïvéês úünìïfôörmìïty béêtwéêéên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Éxââmplêë Ä, whïîch ïîs jüûstïîfïîêëd, hââs nõô nââtüûrââl shââpêë.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Fúúrthéérmöôréé,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bôôld prîínt stäânds ôôüüt,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äánd döóèès nöót dîïstöórt thèè shäápèè öóf tèèxt äás îïtäálîïcs äánd ùýndèèrlîïnîïng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Fìínáálly, blöõck cáápìítááls cáán bèé dìíffìícúült töõ föõllöõw áás blöõck cáápìítááls rèémöõvèé thèé náátúüráál sháápèé öõf wöõrds, túürnìíng thèém ìíntöõ blöõcks.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Cléëåár låáyòóýút åállòóws òónéë tòó fòócýús òón théë còóntéënt òóf vììsýúåál måátéërììåáls råáthéër thåán théë fòórmåát.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Fýùrthèërmöõrèë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yòöùû ùûsëê hëêâådïïngs ïït mâåkëês thëê crëêâåtïïòön âånd ùûpkëêëêp òöf tâåblëês òöf còöntëênts ëêâåsïïëêr (Fòör âåùûtòömâåtïïc crëêâåtïïòön âånd ùûpdâåtïïng gòö tòö: Ïnsëêrt – Rëêfëêrëêncëê – Ïndëêx âånd Tâåblëês – Tâåblëê òöf còöntëênts).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