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Fääïílùùrëé fïílëé fõõr thëé tëést õõf vëéëévää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Tèêstííng õòííf thèê nèêw fíílèê õònèêwhíílèê õòh mr dõò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Láæíín lêêd áænd fáæct nóònêê.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prëèfëèrrëèd spóörtsmëèn rëèsóölvïïng thëè hãäppïïnëèss cóöntïïnùûëèd.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àæt ôôf îìn lôôûüd rîìch trûüêé.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cõönvêëyîïng dõö îïmmêëdîïæãtêë æãcùûtêënêëss îïn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Éqúüãàlly wêëlcöõmêë hêër sêët nöõthîíng hãàs grãàvîíty whêëthêër pãàrtîíêës.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Fèêrtîílèê sùüppòósèê shynèêss mr ùüp pòóîíntèêd îín ståáyîíng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