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Wöörd Dööcùümëènts Tëèmpläætëè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Mââíïn hèèââdíïng: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Úsëè thëè Hëèåãdìíng 1 stylëè föór prìímåãry hëèåãdìíngs söó thåãt scrëèëèn rëèåãdëèrs cåãn ìídëèntìífy thëèm åãs sùúch.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nõõt åålrèëåådy, måånüüåålly chåångèë yõõüür hèëåådìíng 1 stylèë tõõ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sæàns séêrîìf (éê.g. Ærîìæàl, Véêrdæànæà, Tréêbúûchéêt õör Cæàlîìbrîì),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äãnd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thîïs fõörmæáttîïng æás yõöúür dëèfæáúült fõör thîïs stylëè.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Sýüb Hèêãâdíìngs: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Üsèé Hèéâådìíng 2 stylèé fõòr súúb hèéâådìíngs.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nôót âålréëâådy, mâånýúâålly châångéë yôóýúr héëâådïíng 2 styléë tôó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såäns sêërìïf (êë.g. Àrìïåäl, Vêërdåänåä, Trêëbùüchêët õôr Cåälìïbrìï),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æãnd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thìïs fòõrmäættìïng äæs yòõûúr dèëfäæûúlt fòõr thìïs stylèë.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Sûüb Sûüb Hèêæâdîïngs: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Ûsèë Hèëâådïìng 3 föõr süúb süúb-hèëâådïìngs.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nóõt åálrëéåády, måánûýåálly chåángëé yóõûýr hëéåádîïng 2 stylëé tóõ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sáæns sëërîíf (ëë.g. Ärîíáæl, Vëërdáænáæ, Trëëbùùchëët òôr Cáælîíbrîí),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æánd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thíïs fóórmæåttíïng æås yóóúýr déêfæåúýlt fóór thíïs styléê.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Påàråàgråàph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Pâàrâàgrâàphs shòôûûld nòôt bêè stylêèd âàs hêèâàdííngs.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Páäráägráäphs shööúûld bêé ‘nöörmáäl’ stylêé.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Thêèy shôóüùld bêè: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Sãáns sèërîìf fôönt, 12 pôöîìnt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spæäcîïng (èèxcèèpt föòr lîïsts öòf büýllèèt pöòîïnts)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Lëéft áælîìgnëéd îìnstëéáæd õóf jùýstîìfîìëéd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thíïs fõörmàáttíïng àás yõöúùr dêèfàáúùlt fõör thíïs stylêè.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Yôôûúr dôôcûúméènt shôôûúld æálsôô: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Lèéåævèé sùûffîícîíèént whîítèé spåæcèé åæt èéîíthèér sîídèé õõf thèé påægèé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Àvòôïîd üúsïîng blòôck cääpïîtääls òôr ïîtäälïîcs.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Üsèé bôõld tôõ mãákèé tèéxt stãánd ôõüút ìînstèéãád.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Tòö ååméénd dééfååüýlt styléés: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Æmëènd thëè stylëè íìn líìnëè wíìth thëè ääböõvëè gùúíìdëèlíìnëès thëèn ríìght clíìck thëè stylëè íìn qùúëèstíìöõn ùúndëèr thëè höõmëè tääb.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Chòöòösèë ‘mòödìïfy’ fròöm thèë dròöp dòöwn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Thïís wïíll ôópêén ææ bôóx.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Wíîthíîn thëë böóx, ëënsúûrëë thæãt thëë stylëë íîs föórmæãttëëd töó yöóúûr prëëfëërëëncëës.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Fôòr èêxäämplèê, îìf ‘îìtäälîìcs’ îìs chèêckèêd, ûýnchèêck îìt.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Chõõõõsêè thêè råãdîìõõ bùùttõõn thåãt ståãtêès: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‘Néëw dööcúùméënts bâàséëd öön thîïs téëmplâàtéë’, âànd clîïck ‘öökâày’.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Tòò âãmêënd pâãrâãgrâãph dêëfâãüùltïïng: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Lêèft clìïck ‘páåráågráåph’ ùýndêèr thêè höómêè táåb.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Ënsüýrêê yóóüýr àålìîgnmêênt ìîs sêêt tóó ‘lêêft’ àånd lìînêê spàåcìîng ìîs sêêt tóó ‘1.5 lìînêês’.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Óncêê yõõúúr sêêttïîngs åärêê cõõrrêêct clïîck ‘dêêfåäúúlt’.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Clíìck ‘yëès’ ôòn thëè rëèsýûltíìng ‘Árëè yôòýûr sýûrëè’ mëèssåægëè.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Töô tèést yöôûür nèéw sèéttïíngs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Öpêén âæ nêéw döòcúýmêént âænd têést êéâæch hêéâædïíng âænd pâærâægrâæph stylêé töò êénsúýrêé âæll sêéttïíngs hâævêé bêéêén sâævêéd.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Tåâblèë Ûsåâgèë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Côônstrúùct táæblèës tôô rèëáæd lôôgîícáælly frôôm lèëft tôô rîíght, tôôp tôô bôôttôôm ôôrdèër.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Tåàblêës wìíth cóólùûmn hêëåàdìíngs ìín thêë tóóp róów mùûst håàvêë thêë tóóp róów fóórmåàttêëd åàs åà hêëåàdêër róów.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Tõö sêët äâ täâblêë hêëäâdêër rõöw: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Hììghlììght théê tôöp rôöw ôöf théê tààbléê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Rìïght clìïck tóò dìïsplãæy ëédìïtìïng óòptìïóòns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Sëélëéct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Tææblêê Pröôpêêrtìïêês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frõöm thêè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 Táåblêè Pròõpêèrtïïêès wïïndòõw wïïll bêè dïïspláåyêèd; clïïck òõn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tæáb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Chêèck thêè òöptîíòön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Rëëpëëåät åäs hëëåädëër åät thëë tòöp òöf ëëåäch påägëë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Ïmàågêés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Ältèërnáætïîvèë ôòr Ält tèëxt ïîs rèëqùúïîrèëd fôòr áæll ïîmáægèës ïîn áæ dôòcùúmèënt (èëxclùúdïîng pùúrèëly dèëcôòráætïîvèë ïîmáægèës wïîthôòùút mèëáænïîngfùúl côòntèënt).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Rïïght-clïïck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óön thëë íìmæågëë;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Föôrmãât Pìíctùùréë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Fòõrmæåt Pïìctýürêê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dìïàælõôg bõôx wìïll àæppêèàær.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Séëléëct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Wëëb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tãæb.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Àltèêrnáâtíívèê tèêxt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böòx, typèé ïîn thèé dèéscrïîptïîöòn öòf thèé ïîmáàgèé.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Râãtìîôònâãlêè fôòr fôòllôòwìîng Clêèâãr Prìînt Gýúìîdêèlìînêès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Èxàâmplêë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Êxååmplèè Æ íîs Tíîmèès Nèèw Rôòmåån, síîzèè tèèn, wíîth síînglèè spååcíîng.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Èxäãmplêè B ìîs Ærìîäãl, sìîzêè twêèlvêè wìîth 1.5 späãcìîng.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Æs yôõúú cåàn sêèêè, småàllêèr fôõnt sîízêès, sîínglêè spåàcîíng åànd sêèrîíf fôõnts åàrêè håàrdêèr tôõ rêèåàd.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Àddíìtíìóönãålly, íìt íìs êëãåsíìêër tóö kêëêëp óönêë’s plãåcêë óön ãå pãågêë wíìth lêëft ãålíìgnêëd têëxt, ãås íìn êëxãåmplêë B, ãås lêëft ãålíìgnmêënt gíìvêës thêë bóödy óöf thêë têëxt ãå spêëcíìfíìc shãåpêë ãånd gíìvêës ûúníìfóörmíìty bêëtwêëêën wóörds.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Ëxåámpléê Á, whìïch ìïs júûstìïfìïéêd, håás nòô nåátúûråál shåápéê.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Fùürthêërmôörêë, bôöld prïìnt ståænds ôöùüt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âænd dòöéès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nòôt dîïstòôrt thëë shàâpëë òôf tëëxt àâs îïtàâlîïcs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âånd ùündèërlîínîíng dôõ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FÌNÃLLY, BLÔCK CÃPÌTÃLS CÃN BÉ DÌFFÌCÛLT TÔ FÔLLÔW ÃS BLÔCK CÃPÌTÃLS RÉMÔVÉ THÉ NÃTÛRÃL SHÃPÉ ÔF WÔRDS, TÛRNÌNG THÉM ÌNTÔ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Clëëæær lææyôôúýt æællôôws ôônëë tôô fôôcúýs ôôn thëë côôntëënt ôôf vìísúýææl mæætëërìíææls rææthëër thææn thëë fôôrmææt.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Éxáámplêë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Éxáàmpléé Å ïîs Tïîméés Nééw Ròómáàn, sïîzéé téén, wïîth sïîngléé spáàcïîng.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Êxããmpléé B ìís Ærìíããl, sìízéé twéélvéé wìíth 1.5 spããcìíng.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Às yõóüý càân sèëèë, smàâllèër fõónt sìïzèës, sìïnglèë spàâcìïng àând sèërìïf fõónts àârèë hàârdèër tõó rèëàâd.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Ãddìítìíôónâãlly, ìít ìís êëâãsìíêër tôó kêëêëp ôónêë’s plâãcêë ôón âã pâãgêë wìíth lêëft âãlìígnêëd têëxt, âãs ìín êëxâãmplêë B, âãs lêëft âãlìígnmêënt gìívêës thêë bôódy ôóf thêë têëxt âã spêëcìífìíc shâãpêë âãnd gìívêës ýýnìífôórmìíty bêëtwêëêën wôórds.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Êxààmplèè À, whïïch ïïs jýýstïïfïïèèd, hààs nôö nààtýýrààl shààpèè.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Fúùrthèèrmôòrèè,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böõld prìïnt stáánds öõúùt,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àånd dòòéês nòòt dîístòòrt théê shàåpéê òòf téêxt àås îítàålîícs àånd úûndéêrlîínîíng dòò.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Fíìnâàlly, blöòck câàpíìtâàls câàn béè díìffíìcüûlt töò föòllöòw âàs blöòck câàpíìtâàls réèmöòvéè théè nâàtüûrâàl shâàpéè öòf wöòrds, tüûrníìng théèm íìntöò blöòcks.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Clëëäár läáyôöüýt äállôöws ôönëë tôö fôöcüýs ôön thëë côöntëënt ôöf vïísüýäál mäátëërïíäáls räáthëër thäán thëë fôörmäát.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Füûrthëërmóórëë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yôóýû ýûsêé hêéäãdííngs íít mäãkêés thêé crêéäãtííôón äãnd ýûpkêéêép ôóf täãblêés ôóf côóntêénts êéäãsííêér (Fôór äãýûtôómäãtííc crêéäãtííôón äãnd ýûpdäãtííng gôó tôó: Ínsêért – Rêéfêérêéncêé – Índêéx äãnd Täãblêés – Täãblêé ôóf côóntêénts).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