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Wóõrd Dóõcúûméënts Téëmpláätéë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Màåíín hêéàådííng: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Ùsèé thèé Hèéâádíïng 1 stylèé fòòr príïmâáry hèéâádíïngs sòò thâát scrèéèén rèéâádèérs câán íïdèéntíïfy thèém âás sýûch.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nôõt åàlrèéåàdy, måànüùåàlly chåàngèé yôõüùr hèéåàdíìng 1 stylèé tôõ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sàâns sëérìíf (ëé.g. Årìíàâl, Vëérdàânàâ, Trëébúüchëét öör Càâlìíbrìí),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thìís föòrmààttìíng ààs yöòûúr déëfààûúlt föòr thìís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Sùüb Hêèãádîíngs: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Hêéåâdîîng 2 stylêé fóôr sýùb hêéåâdîîngs.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nóõt åálrêéåády, måánùùåálly chåángêé yóõùùr hêéåádïìng 2 stylêé tóõ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sàåns sèérïîf (èé.g. Ærïîàål, Vèérdàånàå, Trèébúüchèét óór Càålïîbrïî),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thîîs fòórmáãttîîng áãs yòóüür dêëfáãüült fòór thîîs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Sùùb Sùùb Hëèàådìîngs: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Héëãådïìng 3 fõör súúb súúb-héëãådïìngs.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nóöt ãálréëãády, mãánüûãálly chãángéë yóöüûr héëãádïìng 2 styléë tóö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sâæns sèërîíf (èë.g. Årîíâæl, Vèërdâænâæ, Trèëbùùchèët óôr Câælîíbrîí),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thïìs fòõrmãættïìng ãæs yòõúûr dêëfãæúûlt fòõr thïìs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Pãærãægrãæphs shôôýúld nôôt bëë stylëëd ãæs hëëãædïíngs.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Pâærâægrâæphs shõõýûld bêë ‘nõõrmâæl’ stylêë.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Thèéy shòóüùld bèé: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Sàäns sêèríïf fõönt, 12 põöíïnt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spâàcîïng (êëxcêëpt föôr lîïsts öôf bùúllêët pöôîïnts)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ãálïîgnêëd ïînstêëãád óôf jüùstïîfïîêëd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thîïs fõôrmâãttîïng âãs yõôùúr dèëfâãùúlt fõôr thîïs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Yòôýýr dòôcýýmëènt shòôýýld æálsòô: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Léêàávéê sýùffíïcíïéênt whíïtéê spàácéê àát éêíïthéêr síïdéê óóf théê pàágéê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Åvòòìîd úúsìîng blòòck cææpìîtææls òòr ìîtæælìîcs.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Üséé bôóld tôó máækéé tééxt stáænd ôóùýt ïînstééáæd.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áámëènd dëèfááýült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Âmêënd thêë stylêë îín lîínêë wîíth thêë ææbõóvêë gýûîídêëlîínêës thêën rîíght clîíck thêë stylêë îín qýûêëstîíõón ýûndêër thêë hõómêë tææb.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Chòõòõsèê ‘mòõdììfy’ fròõm thèê dròõp dòõwn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Thíïs wíïll óöpêën âã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Wìîthìîn théè bõòx, éènsúüréè thåæt théè styléè ìîs fõòrmåættéèd tõò yõòúür préèféèréèncéès.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ëêxãämplëê, îïf ‘îïtãälîïcs’ îïs chëêckëêd, úünchëêck îït.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Chóõóõséë théë ræádïìóõ búûttóõn thæát stæátéës: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‘Nèëw dôõcûümèënts båäsèëd ôõn thìîs tèëmplåätèë’, åänd clìîck ‘ôõkåäy’.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æámèénd pæáræágræáph dèéfæáúûltîìng: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clïîck ‘påãråãgråãph’ ýúndëër thëë hõômëë tåãb.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Énsúûréé yòöúûr äälììgnméént ììs séét tòö ‘lééft’ äänd lììnéé spääcììng ììs séét tòö ‘1.5 lììnéés’.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Ôncéé yöóýùr sééttïíngs äåréé cöórrééct clïíck ‘dééfäåýùlt’.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‘yëés’ õõn thëé rëésûültïìng ‘Ærëé yõõûür sûürëé’ mëéssæãgëé.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tèëst yôóúýr nèëw sèëttííngs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Õpéén æâ nééw dóöcýýméént æând téést ééæâch hééæâdííng æând pæâræâgræâph styléé tóö éénsýýréé æâll sééttííngs hæâvéé béééén sæâvééd.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Tåâblëé Ùsåâgëé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Cöõnstrûýct tååblëës töõ rëëååd löõgíícåålly fröõm lëëft töõ rííght, töõp töõ böõttöõm öõrdëër.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Täæblèés wííth cóõlýùmn hèéäædííngs íín thèé tóõp róõw mýùst häævèé thèé tóõp róõw fóõrmäættèéd äæs äæ hèéäædèér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Tòô sëét äá täáblëé hëéäádëér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Híïghlíïght thêë tõóp rõów õóf thêë tæäblêë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 clíìck tóò díìspläãy èëdíìtíìng óòptíìóòns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Tããblêê Pròöpêêrtìïêês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fròóm thèè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 Tââbléê Prôôpéêrtïîéês wïîndôôw wïîll béê dïîsplââyéêd; clïîck ôôn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Chëëck thëë ôôptîïôôn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Rëëpëëäät ääs hëëäädëër äät thëë tóõp óõf ëëääch päägëë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Ìmæägèës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Ältéêrnäátïívéê òôr Ält téêxt ïís réêqùùïíréêd fòôr äáll ïímäágéês ïín äá dòôcùùméênt (éêxclùùdïíng pùùréêly déêcòôräátïívéê ïímäágéês wïíthòôùùt méêäánïíngfùùl còôntéênt).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Rìíght-clìíck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ôôn thêë íîmãàgêë;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Föörmàæt Pîìctüürëè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Fòòrmâãt Pïíctùýrêè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díîåâlòõg bòõx wíîll åâppéêåâr.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Áltëérnáàtïívëé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böóx, typèë ïïn thèë dèëscrïïptïïöón öóf thèë ïïmæágèë.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Ræætîíòònæælèé fòòr fòòllòòwîíng Clèéæær Prîínt Gúúîídèélîínèés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Ëxæámplêê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Èxãåmplèè À ìîs Tìîmèès Nèèw Ròömãån, sìîzèè tèèn, wìîth sìînglèè spãåcìîng.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Éxããmplêê B íîs Áríîããl, síîzêê twêêlvêê wíîth 1.5 spããcíîng.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yöõúü cáàn séêéê, smáàlléêr föõnt sïízéês, sïíngléê spáàcïíng áànd séêrïíf föõnts áàréê háàrdéêr töõ réêáàd.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Äddïïtïïôönââlly, ïït ïïs éêââsïïéêr tôö kéêéêp ôönéê’s plââcéê ôön ââ pââgéê wïïth léêft ââlïïgnéêd téêxt, ââs ïïn éêxââmpléê B, ââs léêft ââlïïgnméênt gïïvéês théê bôödy ôöf théê téêxt ââ spéêcïïfïïc shââpéê âând gïïvéês ûùnïïfôörmïïty béêtwéêéên wôörds.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Êxâámplèë Ä, whìích ìís jûûstìífìíèëd, hâás nõö nâátûûrâál shâápèë.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Füürthéérmòôréé, bòôld prìínt ståánds òôüüt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àãnd dôôëès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nöót dîìstöórt thèè shæãpèè öóf tèèxt æãs îìtæãlîìcs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äänd úúndèèrlíïníïng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FÏNÂLLY, BLÔCK CÂPÏTÂLS CÂN BÈ DÏFFÏCÜLT TÔ FÔLLÔW ÂS BLÔCK CÂPÏTÂLS RÈMÔVÈ THÈ NÂTÜRÂL SHÂPÈ ÔF WÔRDS, TÜRNÏNG THÈM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Cléëãär lãäyôöýût ãällôöws ôönéë tôö fôöcýûs ôön théë côöntéënt ôöf vïîsýûãäl mãätéërïîãäls rãäthéër thãän théë fôörmãät.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Èxâæmplêè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Èxåâmpléê Æ ïïs Tïïméês Néêw Ròõmåân, sïïzéê téên, wïïth sïïngléê spåâcïïng.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Éxäámplêé B îìs Ârîìäál, sîìzêé twêélvêé wîìth 1.5 späácîìng.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yôöûü càãn sëêëê, smàãllëêr fôönt sìízëês, sìínglëê spàãcìíng àãnd sëêrìíf fôönts àãrëê hàãrdëêr tôö rëêàãd.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Æddíìtíìôõnæâlly, íìt íìs èëæâsíìèër tôõ kèëèëp ôõnèë’s plæâcèë ôõn æâ pæâgèë wíìth lèëft æâlíìgnèëd tèëxt, æâs íìn èëxæâmplèë B, æâs lèëft æâlíìgnmèënt gíìvèës thèë bôõdy ôõf thèë tèëxt æâ spèëcíìfíìc shæâpèë æând gíìvèës ùýníìfôõrmíìty bèëtwèëèën wôõrds.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Ëxâåmpléë Å, whîích îís jùùstîífîíéëd, hâås nòö nâåtùùrâål shâåpéë.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Fýúrthèërmôórèë,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bòõld príìnt stæãnds òõüùt,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ãänd dòöèés nòöt dîístòört thèé shãäpèé òöf tèéxt ãäs îítãälîícs ãänd ûùndèérlîínîíng dòö.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Fîïnâålly, blööck câåpîïtâåls câån bëé dîïffîïcúült töö fööllööw âås blööck câåpîïtâåls rëémöövëé thëé nâåtúürâål shâåpëé ööf wöörds, túürnîïng thëém îïntöö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Clèéåãr låãyóõúüt åãllóõws óõnèé tóõ fóõcúüs óõn thèé cóõntèént óõf vìísúüåãl måãtèérìíåãls råãthèér thåãn thèé fóõrmåãt.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Füürthéèrmôóréè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yööûû ûûsëé hëéâádíïngs íït mâákëés thëé crëéâátíïöön âánd ûûpkëéëép ööf tâáblëés ööf cööntëénts ëéâásíïëér (Föör âáûûtöömâátíïc crëéâátíïöön âánd ûûpdâátíïng göö töö: Însëért – Rëéfëérëéncëé – Îndëéx âánd Tâáblëés – Tâáblëé ööf cööntëénts).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