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03Y"/>
        <w:bidi w:val="0"/>
        <w:spacing w:before="200" w:after="200"/>
        <w:ind w:start="0" w:end="0" w:hanging="0"/>
        <w:jc w:val="both"/>
        <w:rPr/>
      </w:pPr>
      <w:r>
        <w:rPr>
          <w:b w:val="false"/>
          <w:bCs w:val="false"/>
          <w:sz w:val="24"/>
          <w:szCs w:val="24"/>
        </w:rPr>
        <w:t>Na osnovu člana 202 Zakona o radu (Sl. List Crne Gore br.145/21 od 31.12.2021), član 1 Zakona o zaštiti na radu (Sl. List RCG br.40/11 od 08.08.2011) i pravilnika o pitanjima iz zaštite na radu koje treba urediti ugovorom o radu (Sl.list RCG br. 67/05) zaključuje se :</w:t>
      </w:r>
    </w:p>
    <w:p>
      <w:pPr>
        <w:pStyle w:val="N03Y"/>
        <w:bidi w:val="0"/>
        <w:ind w:start="0" w:end="0" w:hanging="0"/>
        <w:rPr/>
      </w:pPr>
      <w:r>
        <w:rPr/>
        <w:t>UGOVOR</w:t>
      </w:r>
    </w:p>
    <w:p>
      <w:pPr>
        <w:pStyle w:val="N03Y"/>
        <w:bidi w:val="0"/>
        <w:ind w:start="0" w:end="0" w:hanging="0"/>
        <w:rPr/>
      </w:pPr>
      <w:r>
        <w:rPr/>
        <w:t>O DOPUNSKOM RADU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Zaključen u Ulcinju, dana 01.11.1999. godine, između: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 xml:space="preserve">1. </w:t>
        <w:tab/>
        <w:t>"TAMIŠ" D.O.O. ULCINJ    PIB: 02268400,sjedište: Ulcinj, i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>2. ISA CEKOVIQ , broj lične karte I3382349M matični broj:0212968223027 s prebivalištem u ULCINJ ,  kao izvršilac posla (u daljem tekstu: Izvršilac posla)</w:t>
      </w:r>
      <w:r>
        <w:rPr>
          <w:b/>
          <w:bCs/>
          <w:i/>
          <w:iCs/>
          <w:color w:val="auto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u w:val="single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Fonts w:ascii="Calibri" w:hAnsi="Calibri"/>
          <w:color w:val="auto"/>
          <w:sz w:val="24"/>
          <w:szCs w:val="24"/>
          <w:lang w:val="sr-Latn-CS"/>
        </w:rPr>
      </w:r>
      <w:r>
        <w:rPr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1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preuzima obavezu da za Poslodavca DOO ""TAMIŠ" D.O.O. ULCINJ" obavlja sljedeće poslove: DIREKTOR.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navedene poslove obavljati u sjedištu Poslodavca, odnosno u DOO ""TAMIŠ" D.O.O. ULCINJ".</w:t>
      </w:r>
      <w:r>
        <w:rPr>
          <w:b/>
          <w:bCs/>
          <w:i/>
          <w:iCs/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2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Poslove iz člana 1. Izvršilac posla će obavljati </w:t>
      </w:r>
      <w:r>
        <w:rPr>
          <w:b/>
          <w:bCs/>
          <w:i/>
          <w:iCs/>
          <w:color w:val="auto"/>
        </w:rPr>
        <w:t xml:space="preserve">5(pet) </w:t>
      </w:r>
      <w:r>
        <w:rPr>
          <w:color w:val="auto"/>
        </w:rPr>
        <w:t xml:space="preserve"> radnih dana u nedjelji u ukupnom trajanju od </w:t>
      </w:r>
      <w:r>
        <w:rPr>
          <w:b/>
          <w:bCs/>
          <w:i/>
          <w:iCs/>
          <w:color w:val="auto"/>
        </w:rPr>
        <w:t>20(dvadeset)</w:t>
      </w:r>
      <w:r>
        <w:rPr>
          <w:color w:val="auto"/>
        </w:rPr>
        <w:t xml:space="preserve"> radnih sati.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Evidenciju o radnim satima vodiće Poslodavac, na kraju svake radne nedjelje.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davati saglasnost na tu evidenciju svojim potpisom.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3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Poslodavac će Izvršiocu posla na ime obavljenog rada isplatiti iznos od 600.00 eura mjesečno. Isplatu naknade poslodavac će vršiti najkasnije do 10 u mjesecu za prethodni mjesec.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color w:val="auto"/>
          <w:sz w:val="24"/>
          <w:szCs w:val="24"/>
          <w:lang w:val="pl-PL"/>
        </w:rPr>
      </w:r>
    </w:p>
    <w:p>
      <w:pPr>
        <w:pStyle w:val="T30X"/>
        <w:bidi w:val="0"/>
        <w:ind w:start="567" w:end="0" w:hanging="283"/>
        <w:rPr/>
      </w:pPr>
      <w:r>
        <w:rPr>
          <w:color w:val="auto"/>
        </w:rPr>
        <w:t xml:space="preserve">      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4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je dužan da se pridržava svih propisanih mjera zaštite na radu.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Zaposleni ima pravo na osiguranje za slučaj povrede na radu i profesionalnog oboljenja, u skladu sa zakonom i opštim aktima Poslodavca.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5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Ovaj ugovor se zaključuje na period od 01.11.1999 (na neodređeno vrijeme).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Po isteku navedenog perioda Poslodavac i Izvršilac posla mogu, ukoliko se ukaže potreba za daljim radom Izvršioca posla, zaključiti aneks ugovora.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6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Eventualne sporove po ovom ugovoru ugovorne strane rješavaće sporazumno, u suprotnom nadležan je sud u </w:t>
      </w:r>
      <w:r>
        <w:rPr>
          <w:b/>
          <w:bCs/>
          <w:i/>
          <w:iCs/>
          <w:color w:val="auto"/>
        </w:rPr>
        <w:t>Ulcinju.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7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Ovaj ugovor je sačinjen u </w:t>
      </w:r>
      <w:r>
        <w:rPr>
          <w:b/>
          <w:bCs/>
          <w:i/>
          <w:iCs/>
          <w:color w:val="auto"/>
        </w:rPr>
        <w:t xml:space="preserve">4 </w:t>
      </w:r>
      <w:r>
        <w:rPr>
          <w:color w:val="auto"/>
        </w:rPr>
        <w:t xml:space="preserve"> istovjetna primjerka od kojih po </w:t>
      </w:r>
      <w:r>
        <w:rPr>
          <w:b/>
          <w:bCs/>
          <w:i/>
          <w:iCs/>
          <w:color w:val="auto"/>
        </w:rPr>
        <w:t xml:space="preserve">1 </w:t>
      </w:r>
      <w:r>
        <w:rPr>
          <w:color w:val="auto"/>
        </w:rPr>
        <w:t xml:space="preserve"> zadržava svaka strana ugovornica.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U Ulcinju dana 01.11.1999. godine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posla                                                                                                                              Poslodavac</w:t>
      </w:r>
    </w:p>
    <w:p>
      <w:pPr>
        <w:pStyle w:val="T30X"/>
        <w:bidi w:val="0"/>
        <w:spacing w:before="60" w:after="60"/>
        <w:ind w:start="0" w:end="0" w:firstLine="283"/>
        <w:rPr/>
      </w:pPr>
      <w:r>
        <w:rPr>
          <w:b/>
          <w:bCs/>
          <w:i/>
          <w:iCs/>
          <w:color w:val="auto"/>
        </w:rPr>
        <w:t>ISA CEKOVIQ                                                                              DOO ""TAMIŠ" D.O.O. ULCINJ"</w:t>
      </w: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8"/>
      <w:footerReference w:type="first" r:id="rId9"/>
      <w:type w:val="nextPage"/>
      <w:pgSz w:w="11906" w:h="16838"/>
      <w:pgMar w:left="850" w:right="850" w:gutter="0" w:header="567" w:top="850" w:footer="567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Verdan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5" w:type="dxa"/>
      <w:jc w:val="start"/>
      <w:tblInd w:w="-108" w:type="dxa"/>
      <w:tblLayout w:type="fixed"/>
      <w:tblCellMar>
        <w:top w:w="40" w:type="dxa"/>
        <w:start w:w="68" w:type="dxa"/>
        <w:bottom w:w="40" w:type="dxa"/>
        <w:end w:w="68" w:type="dxa"/>
      </w:tblCellMar>
    </w:tblPr>
    <w:tblGrid>
      <w:gridCol w:w="5102"/>
      <w:gridCol w:w="5102"/>
    </w:tblGrid>
    <w:tr>
      <w:trPr>
        <w:trHeight w:val="240" w:hRule="atLeast"/>
        <w:cantSplit w:val="true"/>
      </w:trPr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rPr/>
          </w:pPr>
          <w:hyperlink w:anchor="http___www_katalogpropisa_me">
            <w:r>
              <w:rPr>
                <w:rStyle w:val="InternetLink"/>
              </w:rPr>
              <w:t>Pravni ekspert doo, Podgorica</w:t>
            </w:r>
          </w:hyperlink>
        </w:p>
      </w:tc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jc w:val="end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0</w:t>
          </w:r>
          <w:r>
            <w:rPr/>
            <w:fldChar w:fldCharType="end"/>
          </w:r>
        </w:p>
      </w:tc>
    </w:tr>
  </w:tbl>
  <w:p>
    <w:pPr>
      <w:pStyle w:val="Normal"/>
      <w:widowControl w:val="false"/>
      <w:bidi w:val="0"/>
      <w:jc w:val="star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ind w:start="0" w:end="0" w:hanging="0"/>
      <w:rPr/>
    </w:pPr>
    <w:r>
      <w:rPr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rPr/>
    </w:pPr>
    <w:r>
      <w:rPr/>
      <w:t>Katalog propisa 2022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jc w:val="start"/>
      <w:rPr/>
    </w:pPr>
    <w:r>
      <w:rPr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evenAndOddHeader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start"/>
      <w:textAlignment w:val="auto"/>
    </w:pPr>
    <w:rPr>
      <w:rFonts w:ascii="Times New Roman" w:hAnsi="Times New Roman" w:eastAsia="Times New Roman" w:cs="Times New Roman"/>
      <w:color w:val="000000"/>
      <w:kern w:val="2"/>
      <w:sz w:val="20"/>
      <w:szCs w:val="20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>
      <w:rFonts w:eastAsia="Times New Roman"/>
    </w:rPr>
  </w:style>
  <w:style w:type="character" w:styleId="FooterChar">
    <w:name w:val="Footer Char"/>
    <w:basedOn w:val="DefaultParagraphFont"/>
    <w:qFormat/>
    <w:rPr>
      <w:rFonts w:eastAsia="Times New Roman"/>
    </w:rPr>
  </w:style>
  <w:style w:type="character" w:styleId="InternetLink">
    <w:name w:val="Hyperlink"/>
    <w:basedOn w:val="DefaultParagraphFont"/>
    <w:rPr>
      <w:rFonts w:ascii="Times New Roman" w:hAnsi="Times New Roman" w:eastAsia="Times New Roman"/>
      <w:color w:val="000000"/>
      <w:sz w:val="24"/>
      <w:szCs w:val="24"/>
    </w:rPr>
  </w:style>
  <w:style w:type="character" w:styleId="BodyTextBezRazmakChar">
    <w:name w:val="Body Text Bez Razmak Char"/>
    <w:qFormat/>
    <w:rPr>
      <w:rFonts w:ascii="Times" w:hAnsi="Times"/>
      <w:lang w:val="en-US" w:eastAsia="en-US"/>
    </w:rPr>
  </w:style>
  <w:style w:type="character" w:styleId="BalloonTextChar">
    <w:name w:val="Balloon Text Char"/>
    <w:basedOn w:val="DefaultParagraphFont"/>
    <w:qFormat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Table">
    <w:name w:val="Normal Table"/>
    <w:qFormat/>
    <w:pPr>
      <w:widowControl/>
      <w:bidi w:val="0"/>
      <w:spacing w:lineRule="auto" w:line="256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en-US" w:eastAsia="en-US" w:bidi="ar-SA"/>
    </w:rPr>
  </w:style>
  <w:style w:type="paragraph" w:styleId="Heading1">
    <w:name w:val="Heading1"/>
    <w:basedOn w:val="Normal"/>
    <w:qFormat/>
    <w:pPr>
      <w:outlineLvl w:val="0"/>
    </w:pPr>
    <w:rPr/>
  </w:style>
  <w:style w:type="paragraph" w:styleId="Heading2">
    <w:name w:val="Heading2"/>
    <w:basedOn w:val="Heading1"/>
    <w:qFormat/>
    <w:pPr>
      <w:outlineLvl w:val="1"/>
    </w:pPr>
    <w:rPr/>
  </w:style>
  <w:style w:type="paragraph" w:styleId="Heading3">
    <w:name w:val="Heading3"/>
    <w:basedOn w:val="Heading2"/>
    <w:qFormat/>
    <w:pPr>
      <w:outlineLvl w:val="2"/>
    </w:pPr>
    <w:rPr/>
  </w:style>
  <w:style w:type="paragraph" w:styleId="Heading4">
    <w:name w:val="Heading4"/>
    <w:basedOn w:val="Heading3"/>
    <w:qFormat/>
    <w:pPr>
      <w:outlineLvl w:val="3"/>
    </w:pPr>
    <w:rPr/>
  </w:style>
  <w:style w:type="paragraph" w:styleId="Heading5">
    <w:name w:val="Heading5"/>
    <w:basedOn w:val="Heading4"/>
    <w:qFormat/>
    <w:pPr>
      <w:outlineLvl w:val="4"/>
    </w:pPr>
    <w:rPr/>
  </w:style>
  <w:style w:type="paragraph" w:styleId="Heading6">
    <w:name w:val="Heading6"/>
    <w:basedOn w:val="Heading5"/>
    <w:qFormat/>
    <w:pPr>
      <w:outlineLvl w:val="5"/>
    </w:pPr>
    <w:rPr/>
  </w:style>
  <w:style w:type="paragraph" w:styleId="Heading7">
    <w:name w:val="Heading7"/>
    <w:basedOn w:val="Heading6"/>
    <w:qFormat/>
    <w:pPr>
      <w:outlineLvl w:val="6"/>
    </w:pPr>
    <w:rPr/>
  </w:style>
  <w:style w:type="paragraph" w:styleId="Heading8">
    <w:name w:val="Heading8"/>
    <w:basedOn w:val="Heading7"/>
    <w:qFormat/>
    <w:pPr>
      <w:outlineLvl w:val="7"/>
    </w:pPr>
    <w:rPr/>
  </w:style>
  <w:style w:type="paragraph" w:styleId="Heading9">
    <w:name w:val="Heading9"/>
    <w:basedOn w:val="Heading8"/>
    <w:qFormat/>
    <w:pPr>
      <w:outlineLvl w:val="8"/>
    </w:pPr>
    <w:rPr/>
  </w:style>
  <w:style w:type="paragraph" w:styleId="Footnote">
    <w:name w:val="Footnote Text"/>
    <w:basedOn w:val="Normal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clear" w:pos="720"/>
        <w:tab w:val="right" w:pos="9071" w:leader="none"/>
      </w:tabs>
      <w:jc w:val="end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lear" w:pos="720"/>
        <w:tab w:val="center" w:pos="5669" w:leader="none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styleId="InvalidStyleName">
    <w:name w:val="InvalidStyleName"/>
    <w:basedOn w:val="Normal"/>
    <w:qFormat/>
    <w:pPr/>
    <w:rPr>
      <w:b/>
      <w:bCs/>
      <w:color w:val="00FF00"/>
      <w:u w:val="dash"/>
    </w:rPr>
  </w:style>
  <w:style w:type="paragraph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styleId="Fotter">
    <w:name w:val="Fotter"/>
    <w:basedOn w:val="Normal"/>
    <w:qFormat/>
    <w:pPr/>
    <w:rPr>
      <w:rFonts w:ascii="Verdana" w:hAnsi="Verdana" w:cs="Verdana"/>
      <w:b/>
      <w:bCs/>
      <w:color w:val="4682B4"/>
      <w:sz w:val="18"/>
      <w:szCs w:val="18"/>
    </w:rPr>
  </w:style>
  <w:style w:type="paragraph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D3D3D3"/>
      <w:spacing w:before="200" w:after="200"/>
      <w:jc w:val="center"/>
    </w:pPr>
    <w:rPr>
      <w:b/>
      <w:bCs/>
      <w:sz w:val="24"/>
      <w:szCs w:val="24"/>
    </w:rPr>
  </w:style>
  <w:style w:type="paragraph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fill="87CEEB"/>
      <w:jc w:val="both"/>
    </w:pPr>
    <w:rPr/>
  </w:style>
  <w:style w:type="paragraph" w:styleId="TOC">
    <w:name w:val="TOC"/>
    <w:basedOn w:val="Normal"/>
    <w:qFormat/>
    <w:pPr>
      <w:tabs>
        <w:tab w:val="clear" w:pos="720"/>
        <w:tab w:val="right" w:pos="9071" w:leader="dot"/>
      </w:tabs>
    </w:pPr>
    <w:rPr>
      <w:color w:val="0000FF"/>
    </w:rPr>
  </w:style>
  <w:style w:type="paragraph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styleId="FSNT">
    <w:name w:val="FSNT"/>
    <w:basedOn w:val="Normal"/>
    <w:qFormat/>
    <w:pPr>
      <w:spacing w:before="200" w:after="120"/>
      <w:ind w:start="850" w:hanging="170"/>
    </w:pPr>
    <w:rPr>
      <w:sz w:val="18"/>
      <w:szCs w:val="18"/>
    </w:rPr>
  </w:style>
  <w:style w:type="paragraph" w:styleId="HLINE">
    <w:name w:val="HLINE"/>
    <w:basedOn w:val="Normal"/>
    <w:qFormat/>
    <w:pPr>
      <w:pBdr>
        <w:top w:val="single" w:sz="8" w:space="1" w:color="000000"/>
      </w:pBdr>
      <w:spacing w:before="60" w:after="0"/>
      <w:jc w:val="center"/>
    </w:pPr>
    <w:rPr/>
  </w:style>
  <w:style w:type="paragraph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styleId="BodyTextBezRazmak">
    <w:name w:val="Body Text Bez Razmak"/>
    <w:qFormat/>
    <w:pPr>
      <w:widowControl w:val="false"/>
      <w:tabs>
        <w:tab w:val="clear" w:pos="720"/>
        <w:tab w:val="right" w:pos="7654" w:leader="dot"/>
      </w:tabs>
      <w:bidi w:val="0"/>
      <w:spacing w:lineRule="atLeast" w:line="227" w:before="0" w:after="113"/>
      <w:jc w:val="both"/>
      <w:textAlignment w:val="auto"/>
    </w:pPr>
    <w:rPr>
      <w:rFonts w:ascii="Times" w:hAnsi="Times" w:eastAsia="Times New Roman" w:cs="Times"/>
      <w:color w:val="auto"/>
      <w:kern w:val="2"/>
      <w:sz w:val="22"/>
      <w:szCs w:val="22"/>
      <w:lang w:val="en-US" w:eastAsia="en-US" w:bidi="ar-SA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header" Target="header3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LibreOffice/7.4.7.2$Linux_AARCH64 LibreOffice_project/40$Build-2</Application>
  <AppVersion>15.0000</AppVersion>
  <Pages>99</Pages>
  <Words>328</Words>
  <Characters>2197</Characters>
  <CharactersWithSpaces>1873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