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  <w:t>odluke</w:t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  <w:t xml:space="preserve"> </w:t>
      </w:r>
      <w:r w:rsidR="00BB1942" w:rsidRPr="00BB1942">
        <w:rPr>
          <w:rFonts w:ascii="Times New Roman" w:hAnsi="Times New Roman" w:cs="Times New Roman"/>
          <w:sz w:val="24"/>
          <w:szCs w:val="24"/>
        </w:rPr>
        <w:tab/>
      </w:r>
      <w:r w:rsidR="004E177B" w:rsidRPr="004E177B">
        <w:rPr>
          <w:rFonts w:ascii="Times New Roman" w:hAnsi="Times New Roman" w:cs="Times New Roman"/>
          <w:sz w:val="24"/>
          <w:szCs w:val="24"/>
        </w:rPr>
        <w:t>DRUŠTVO SA OGRANIČENOM ODGOVORNOŠĆU "CULT ULCINJ" ZA TRGOVINU, UGOSTITELJSTVO I USLUGE "EXPORT-IMPORT" ULCINJ</w:t>
      </w:r>
      <w:r w:rsidR="004E177B">
        <w:rPr>
          <w:rFonts w:ascii="Times New Roman" w:hAnsi="Times New Roman" w:cs="Times New Roman"/>
          <w:sz w:val="24"/>
          <w:szCs w:val="24"/>
        </w:rPr>
        <w:t xml:space="preserve"> </w:t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  <w:t>PIB:</w:t>
      </w:r>
      <w:r w:rsidR="004E177B" w:rsidRPr="004E177B">
        <w:t xml:space="preserve">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>03801969</w:t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čl.9 zakona o zabrani zlostavljanja na radu (Sl. List CG br. 30/12 od 18</w:t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  <w:t>.07.2012 godine) dana 01.0</w:t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  <w:t>4</w:t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  <w:t>.202</w:t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  <w:t>5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 godine donosim sledeću </w:t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rednika medju strankama u slučaju mobinga koji će primati pisani e-zahtjeve za pritužbe za pokretanje postupka za zaštitu od mobinga i posredovati medju strankama u eventualnom </w:t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  <w:t xml:space="preserve">sporu koji se odnosi na mobing 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"CULT ULCINJ" ZA TRGOVINU, UGOSTITELJSTVO I USLUGE "EXPORT-IMPORT" ULCINJ PIB: 03801969</w:t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JUSUF ELEZAGIĆ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lostavljanja na radu u </w:t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"CULT ULCINJ" ZA TRGOVINU, UGOSTITELJSTVO I USLUGE "EXPORT-IMPORT" ULCINJ PIB: 03801969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iz Ulcinja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i da svi poslovi i zadaci budu uskladjeni sa zakonom o zabrani zloustavljanja na radu (Sl. List.CG.br.30/12 od 18.07.2012 godine).</w:t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JUSUF ELEZAGIĆ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