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88" w:lineRule="auto" w:before="524" w:after="25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POPUNJAVA PODNOSILAC ZAHTJEVA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ZAHTJEV ISPUNITI ČITKO!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5691"/>
        <w:gridCol w:w="5691"/>
      </w:tblGrid>
      <w:tr>
        <w:trPr>
          <w:trHeight w:hRule="exact" w:val="838"/>
        </w:trPr>
        <w:tc>
          <w:tcPr>
            <w:tcW w:type="dxa" w:w="10372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6" w:lineRule="auto" w:before="0" w:after="0"/>
              <w:ind w:left="104" w:right="561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Podnosilac zahtjeva (Naziv firme/fizičko lice): </w:t>
              <w:br/>
              <w:tab/>
              <w:t>ADVANCED ACCOUNTING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</w:r>
            <w:r/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0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Naziv objekta: ADVANCED ACCOUNTING ULCINJ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Djelatnost: 5610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30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Adresa: </w:t>
              <w:tab/>
              <w:t>BRAJSA BB, ULCINJ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Grad: BRAJSA BB, ULCINJ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4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PIB: </w:t>
              <w:tab/>
              <w:t>03719073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4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PDV: </w:t>
              <w:tab/>
              <w:t>____________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1037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Ime i prezime kontakt osobe: </w:t>
              <w:tab/>
              <w:t>GETUARD CEKOVIQ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Broj telefona: +38269000000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e-mail: advanced.acct@hotmail.com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autoSpaceDN w:val="0"/>
        <w:autoSpaceDE w:val="0"/>
        <w:widowControl/>
        <w:spacing w:line="288" w:lineRule="auto" w:before="0" w:after="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UZORKOVANJE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430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6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Uzorkovanje po zahtjevu korisnika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2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Uzorak dostavlja korisnik </w:t>
            </w:r>
          </w:p>
        </w:tc>
      </w:tr>
      <w:tr>
        <w:trPr>
          <w:trHeight w:hRule="exact" w:val="560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Lokacija na kojoj se vrši uzorkovanje: </w:t>
            </w:r>
          </w:p>
        </w:tc>
      </w:tr>
      <w:tr>
        <w:trPr>
          <w:trHeight w:hRule="exact" w:val="594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Broj točećih mjesta: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Broj uzoraka: </w:t>
            </w:r>
          </w:p>
        </w:tc>
      </w:tr>
      <w:tr>
        <w:trPr>
          <w:trHeight w:hRule="exact" w:val="1274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Odricanje od odgovornosti Laboratorije u slučaju ispitivanja uzoraka uzorkovanih i dostavljenih od strane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Ne preuzima se odgovornost za tačnost i potpunost informacija o uzorcima dobijenim od korisnika.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Za uzorke dobijene od korisnika, rezultati se primjenjuju na uzorak onakav kakav je primljen.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Rezultati ispitivanja odnose se samo na ispitane uzorke.</w:t>
            </w:r>
          </w:p>
        </w:tc>
      </w:tr>
      <w:tr>
        <w:trPr>
          <w:trHeight w:hRule="exact" w:val="828"/>
        </w:trPr>
        <w:tc>
          <w:tcPr>
            <w:tcW w:type="dxa" w:w="342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 – tip uzorka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(odabrati i označiti) </w:t>
            </w:r>
          </w:p>
        </w:tc>
        <w:tc>
          <w:tcPr>
            <w:tcW w:type="dxa" w:w="3144"/>
            <w:gridSpan w:val="3"/>
            <w:vMerge w:val="restart"/>
            <w:tcBorders>
              <w:top w:sz="4.0" w:val="single" w:color="#000000"/>
              <w:bottom w:sz="4.0" w:val="single" w:color="#000000"/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10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hlorisana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ne hlorisana </w:t>
            </w:r>
          </w:p>
          <w:p>
            <w:pPr>
              <w:autoSpaceDN w:val="0"/>
              <w:tabs>
                <w:tab w:pos="310" w:val="left"/>
                <w:tab w:pos="326" w:val="left"/>
                <w:tab w:pos="350" w:val="left"/>
                <w:tab w:pos="2880" w:val="left"/>
              </w:tabs>
              <w:autoSpaceDE w:val="0"/>
              <w:widowControl/>
              <w:spacing w:line="274" w:lineRule="auto" w:before="2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obimu analiza i sprovođenju mo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r. 64/2018 i Sl.list CG.br 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)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fizičko-hemijska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mik</w:t>
            </w:r>
          </w:p>
        </w:tc>
        <w:tc>
          <w:tcPr>
            <w:tcW w:type="dxa" w:w="387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2016" w:firstLine="0"/>
              <w:jc w:val="center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izvorska voda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bunarska voda </w:t>
            </w:r>
          </w:p>
        </w:tc>
      </w:tr>
      <w:tr>
        <w:trPr>
          <w:trHeight w:hRule="exact" w:val="840"/>
        </w:trPr>
        <w:tc>
          <w:tcPr>
            <w:tcW w:type="dxa" w:w="10440"/>
            <w:gridSpan w:val="7"/>
            <w:tcBorders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Vrsta/obim analize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(odabrati i oz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Pravilniku o parametrima, provjeri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usaglašenosti, metodama, načinu, obimu analiza i sprovođenju mo nitoringa zdravstvene ispravnosti vode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za ljudsku upotrebu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("Sl list CG", br. 64/2018 i Sl.list CG.br 101/2021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osnovna analiza (obim “A”) </w:t>
            </w:r>
          </w:p>
        </w:tc>
      </w:tr>
      <w:tr>
        <w:trPr>
          <w:trHeight w:hRule="exact" w:val="442"/>
        </w:trPr>
        <w:tc>
          <w:tcPr>
            <w:tcW w:type="dxa" w:w="2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Odabrati vrstu ispitivanja: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78"/>
            <w:gridSpan w:val="3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 xml:space="preserve">☐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drugo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64" w:lineRule="auto" w:before="0" w:after="0"/>
        <w:ind w:left="596" w:right="8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  <w:u w:val="single"/>
        </w:rPr>
        <w:t>NAPOMENA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: SA ISPUNJENIM ZAHTJEVOM NEOPHODNO JE DOSTAVITI I DOKAZ O UPLATI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Anali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za vode 58,00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€+troškovi izlaska na teren 18,00 €=76,00€)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 VIRMANU NAGLASITI NAZIV FIRME ZA KOJU SE UPLAĆUJE! </w:t>
      </w:r>
    </w:p>
    <w:p>
      <w:pPr>
        <w:autoSpaceDN w:val="0"/>
        <w:autoSpaceDE w:val="0"/>
        <w:widowControl/>
        <w:spacing w:line="252" w:lineRule="auto" w:before="170" w:after="0"/>
        <w:ind w:left="596" w:right="572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 xml:space="preserve">NAPOMENA: IZVJEŠTAJI  SE PREUZIMAJU LIČNO NAKON 7 DANA OD DANA UZORKOVANJA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Na Odsjeku za higijenu i 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zdravstvenu ekologiju Doma zdravlja Bar, ul. Jovana Tomaševića 42.; ili se dostavljaju putem pošte na adre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su korisnika navedenu na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zahtjevu </w:t>
      </w:r>
    </w:p>
    <w:p>
      <w:pPr>
        <w:autoSpaceDN w:val="0"/>
        <w:autoSpaceDE w:val="0"/>
        <w:widowControl/>
        <w:spacing w:line="252" w:lineRule="auto" w:before="148" w:after="0"/>
        <w:ind w:left="596" w:right="56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 smatraju se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povjerljivim. Ukoliko se zakonom zahtjeva da se neke povjerljive informacije otkriju, Odsjek/Laboratorija će učiniti te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informacije dostupnim i o tome informisati korisnika, izuzev ako je to zakonom zabranjeno.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81" w:lineRule="auto" w:before="44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04" w:type="dxa"/>
      </w:tblPr>
      <w:tblGrid>
        <w:gridCol w:w="3794"/>
        <w:gridCol w:w="3794"/>
        <w:gridCol w:w="3794"/>
      </w:tblGrid>
      <w:tr>
        <w:trPr>
          <w:trHeight w:hRule="exact" w:val="928"/>
        </w:trPr>
        <w:tc>
          <w:tcPr>
            <w:tcW w:type="dxa" w:w="2710"/>
            <w:vMerge w:val="restart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uzorkovanja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204" w:right="288" w:hanging="10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fizičko-hemijske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ISO 5667-5:2020,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5667-1:2023,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5667-3:2025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900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 za fizičko hemijske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analize: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7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72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mikrobiološke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MEST EN ISO  19458: 2013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68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                                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0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ispitivanja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6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2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hemije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4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812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(popunjava korisnik u slučaju da ima posebne zahtjeve)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938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usaglašenosti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uzorka:(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obiljeležiti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 ponuđenih 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78" w:lineRule="auto" w:before="20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Napomena: Objašnjenja data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Uputstvu 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</w:p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104" w:right="3744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4"/>
        </w:trPr>
        <w:tc>
          <w:tcPr>
            <w:tcW w:type="dxa" w:w="2710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NAPOMENA: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 laboratoriji Doma  zdravlja  Bar odluku o tome koje se pravilo odlučivanja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primjenjuje, primijeniće se Pravilo 1: Pravilo podijeljenog rizika. </w:t>
            </w:r>
          </w:p>
        </w:tc>
      </w:tr>
      <w:tr>
        <w:trPr>
          <w:trHeight w:hRule="exact" w:val="1372"/>
        </w:trPr>
        <w:tc>
          <w:tcPr>
            <w:tcW w:type="dxa" w:w="11166"/>
            <w:gridSpan w:val="3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986" w:type="dxa"/>
            </w:tblPr>
            <w:tblGrid>
              <w:gridCol w:w="5583"/>
              <w:gridCol w:w="5583"/>
            </w:tblGrid>
            <w:tr>
              <w:trPr>
                <w:trHeight w:hRule="exact" w:val="97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Datum: </w:t>
                  </w:r>
                </w:p>
              </w:tc>
              <w:tc>
                <w:tcPr>
                  <w:tcW w:type="dxa" w:w="7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96" w:val="left"/>
                      <w:tab w:pos="4544" w:val="left"/>
                    </w:tabs>
                    <w:autoSpaceDE w:val="0"/>
                    <w:widowControl/>
                    <w:spacing w:line="283" w:lineRule="auto" w:before="60" w:after="0"/>
                    <w:ind w:left="204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M.P.                                Ovlašćeno lice korisnika usluga  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1"/>
                    </w:rPr>
                    <w:t>(ime_prezime_direktora)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  <w:u w:val="single"/>
                    </w:rPr>
                    <w:t>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1382"/>
      </w:tblGrid>
      <w:tr>
        <w:trPr>
          <w:trHeight w:hRule="exact" w:val="3866"/>
        </w:trPr>
        <w:tc>
          <w:tcPr>
            <w:tcW w:type="dxa" w:w="1125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UZORKOVANJA 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78" w:lineRule="auto" w:before="28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izvrše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 nekoj od eksterno angažovanih kompetentnih Laboratorija, po izboru Doma zdravlja Bar i uz saglasnost korisnika a čiji su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81" w:lineRule="auto" w:before="7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     M.P.                                       Ovlašćeno lice korisnika usluga </w:t>
            </w:r>
          </w:p>
          <w:p>
            <w:pPr>
              <w:autoSpaceDN w:val="0"/>
              <w:tabs>
                <w:tab w:pos="7586" w:val="left"/>
              </w:tabs>
              <w:autoSpaceDE w:val="0"/>
              <w:widowControl/>
              <w:spacing w:line="245" w:lineRule="auto" w:before="104" w:after="0"/>
              <w:ind w:left="7464" w:right="432" w:firstLine="0"/>
              <w:jc w:val="left"/>
            </w:pPr>
            <w:r>
              <w:tab/>
              <w:t>GETUARD CEKOVIQ</w:t>
              <w:br/>
              <w:t xml:space="preserve"> _____________________________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281" w:lineRule="auto" w:before="747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sectPr w:rsidR="00FC693F" w:rsidRPr="0006063C" w:rsidSect="00034616">
      <w:pgSz w:w="12240" w:h="15840"/>
      <w:pgMar w:top="304" w:right="374" w:bottom="530" w:left="4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igijenadzbar@gmail.com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