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20A"/>
                <w:sz w:val="48"/>
                <w:szCs w:val="48"/>
              </w:rPr>
              <w:t xml:space="preserve">VDA-MD Framework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Role-Stratified HITL Authority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AAAACC"/>
                <w:sz w:val="28"/>
                <w:szCs w:val="28"/>
              </w:rPr>
              <w:t xml:space="preserve">Hotel Onboarding — Crawl / Walk / Run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888899"/>
                <w:sz w:val="20"/>
                <w:szCs w:val="20"/>
              </w:rPr>
              <w:t xml:space="preserve">Document Type  </w:t>
            </w:r>
            <w:r>
              <w:rPr>
                <w:rFonts w:ascii="Arial" w:cs="Arial" w:eastAsia="Arial" w:hAnsi="Arial"/>
                <w:color w:val="CCCCDD"/>
                <w:sz w:val="20"/>
                <w:szCs w:val="20"/>
              </w:rPr>
              <w:t xml:space="preserve">Design Specification</w:t>
            </w:r>
          </w:p>
          <w:p>
            <w:r>
              <w:rPr>
                <w:rFonts w:ascii="Arial" w:cs="Arial" w:eastAsia="Arial" w:hAnsi="Arial"/>
                <w:color w:val="888899"/>
                <w:sz w:val="20"/>
                <w:szCs w:val="20"/>
              </w:rPr>
              <w:t xml:space="preserve">Date           </w:t>
            </w:r>
            <w:r>
              <w:rPr>
                <w:rFonts w:ascii="Arial" w:cs="Arial" w:eastAsia="Arial" w:hAnsi="Arial"/>
                <w:color w:val="CCCCDD"/>
                <w:sz w:val="20"/>
                <w:szCs w:val="20"/>
              </w:rPr>
              <w:t xml:space="preserve">April 2026</w:t>
            </w:r>
          </w:p>
          <w:p>
            <w:r>
              <w:rPr>
                <w:rFonts w:ascii="Arial" w:cs="Arial" w:eastAsia="Arial" w:hAnsi="Arial"/>
                <w:color w:val="888899"/>
                <w:sz w:val="20"/>
                <w:szCs w:val="20"/>
              </w:rPr>
              <w:t xml:space="preserve">Classification </w:t>
            </w:r>
            <w:r>
              <w:rPr>
                <w:rFonts w:ascii="Arial" w:cs="Arial" w:eastAsia="Arial" w:hAnsi="Arial"/>
                <w:color w:val="CCCCDD"/>
                <w:sz w:val="20"/>
                <w:szCs w:val="20"/>
              </w:rPr>
              <w:t xml:space="preserve">Internal — VDA-MD Framework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E8520A" w:sz="6" w:space="1"/>
        </w:pBdr>
        <w:spacing w:after="160" w:before="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color w:val="4A4A6A"/>
          <w:sz w:val="21"/>
          <w:szCs w:val="21"/>
        </w:rPr>
        <w:t xml:space="preserve">The VDA-MD onboarding flow uses five operational roles plus a Compliance Officer to govern AI agent deployment. Each role owns a specific band of decisions. The HITL queue is pre-filtered per role — no one sees decisions outside their authority band. The Crawl/Walk/Run progression is tracked independently per role band: an Ambassador band can be in Walk while the Hotel GM band is still in Crawl.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C447C"/>
                <w:sz w:val="19"/>
                <w:szCs w:val="19"/>
              </w:rPr>
              <w:t xml:space="preserve">Key principle: The SOP.md clause specifies the escalation target explicitly — the agent never decides who to escalate to. The governance file does. The escalation chain only goes up, never sideways. MUST NOT clauses cannot be escalated through any queue.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8520A" w:sz="6" w:space="1"/>
        </w:pBdr>
        <w:spacing w:after="160" w:before="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Authority Map — Who Owns Which Decisions</w:t>
      </w:r>
    </w:p>
    <w:p>
      <w:pPr>
        <w:spacing w:after="120"/>
      </w:pPr>
      <w:r>
        <w:rPr>
          <w:rFonts w:ascii="Arial" w:cs="Arial" w:eastAsia="Arial" w:hAnsi="Arial"/>
          <w:color w:val="4A4A6A"/>
          <w:sz w:val="21"/>
          <w:szCs w:val="21"/>
        </w:rPr>
        <w:t xml:space="preserve">Each role is assigned a specific band of decision types. The HITL queue shows each person only their band. The onboarding gate column shows which step in the 8-step onboarding flow that role signs off 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types owned</w:t>
            </w:r>
          </w:p>
        </w:tc>
        <w:tc>
          <w:tcPr>
            <w:tcW w:type="dxa" w:w="16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Onboarding gate</w:t>
            </w:r>
          </w:p>
        </w:tc>
      </w:tr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Operations Chief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Portfolio-wide</w:t>
            </w:r>
          </w:p>
        </w:tc>
        <w:tc>
          <w:tcPr>
            <w:tcW w:type="dxa" w:w="5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Cross-region exceptions · Portfolio AI policy · New agent class approval · Governance framework updates</w:t>
            </w:r>
          </w:p>
        </w:tc>
        <w:tc>
          <w:tcPr>
            <w:tcW w:type="dxa" w:w="16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Step 8
Portfolio sign-off</w:t>
            </w:r>
          </w:p>
        </w:tc>
      </w:tr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Regional GM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Multi-property</w:t>
            </w:r>
          </w:p>
        </w:tc>
        <w:tc>
          <w:tcPr>
            <w:tcW w:type="dxa" w:w="5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Cross-property rate exceptions · Shared supplier decisions · Regional loyalty overrides · Exception renewals</w:t>
            </w:r>
          </w:p>
        </w:tc>
        <w:tc>
          <w:tcPr>
            <w:tcW w:type="dxa" w:w="16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Step 8
Per-property rollout</w:t>
            </w:r>
          </w:p>
        </w:tc>
      </w:tr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Hotel GM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Single property</w:t>
            </w:r>
          </w:p>
        </w:tc>
        <w:tc>
          <w:tcPr>
            <w:tcW w:type="dxa" w:w="5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Exceptions above SA ceiling · Guest compensation &gt;€150 · VIP protocol overrides · Same-day group blocks</w:t>
            </w:r>
          </w:p>
        </w:tc>
        <w:tc>
          <w:tcPr>
            <w:tcW w:type="dxa" w:w="16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Step 6
Gate 1b</w:t>
            </w:r>
          </w:p>
        </w:tc>
      </w:tr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Senior Ambassador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Shift lead</w:t>
            </w:r>
          </w:p>
        </w:tc>
        <w:tc>
          <w:tcPr>
            <w:tcW w:type="dxa" w:w="5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Loyalty exception application · Late checkout 12–14:00 · Rate 10–15% below BAR · Minor complaint resolution</w:t>
            </w:r>
          </w:p>
        </w:tc>
        <w:tc>
          <w:tcPr>
            <w:tcW w:type="dxa" w:w="16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Step 6
Gate 1a</w:t>
            </w:r>
          </w:p>
        </w:tc>
      </w:tr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Ambassador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Front-line</w:t>
            </w:r>
          </w:p>
        </w:tc>
        <w:tc>
          <w:tcPr>
            <w:tcW w:type="dxa" w:w="5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Standard check-in confirmations · Availability queries · Late checkout ≤12:00 · Discounts ≤9% BAR review</w:t>
            </w:r>
          </w:p>
        </w:tc>
        <w:tc>
          <w:tcPr>
            <w:tcW w:type="dxa" w:w="16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Step 5
Crawl shadow review</w:t>
            </w:r>
          </w:p>
        </w:tc>
      </w:tr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Compliance Officer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Governance quality</w:t>
            </w:r>
          </w:p>
        </w:tc>
        <w:tc>
          <w:tcPr>
            <w:tcW w:type="dxa" w:w="5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Governance file compliance · NIST/ISO clause verification · Exception lifecycle audit · SOC 2 evidence sign-off</w:t>
            </w:r>
          </w:p>
        </w:tc>
        <w:tc>
          <w:tcPr>
            <w:tcW w:type="dxa" w:w="16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Step 6
Gate 2 — all agents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8520A" w:sz="6" w:space="1"/>
        </w:pBdr>
        <w:spacing w:after="160" w:before="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Walk Phase Decision Routing</w:t>
      </w:r>
    </w:p>
    <w:p>
      <w:pPr>
        <w:spacing w:after="120"/>
      </w:pPr>
      <w:r>
        <w:rPr>
          <w:rFonts w:ascii="Arial" w:cs="Arial" w:eastAsia="Arial" w:hAnsi="Arial"/>
          <w:color w:val="4A4A6A"/>
          <w:sz w:val="21"/>
          <w:szCs w:val="21"/>
        </w:rPr>
        <w:t xml:space="preserve">In Walk phase, each role's HITL queue is pre-filtered. The Rate Agent examples below illustrate how different decision types route to different roles. The SOP.md clause specifies the target — the agent never decides who to escalate to.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Rate Agent — Walk phase routing by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band + examples</w:t>
            </w:r>
          </w:p>
        </w:tc>
      </w:tr>
      <w:tr>
        <w:tc>
          <w:tcPr>
            <w:tcW w:type="dxa" w:w="6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EAF3D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AM</w:t>
            </w:r>
          </w:p>
        </w:tc>
        <w:tc>
          <w:tcPr>
            <w:tcW w:type="dxa" w:w="87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Ambassador — autonomous, no queue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≤9% BAR, clear account, no exception conditions triggered. Executes without human involvement.</w:t>
            </w:r>
          </w:p>
        </w:tc>
      </w:tr>
      <w:tr>
        <w:tc>
          <w:tcPr>
            <w:tcW w:type="dxa" w:w="6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E6F1F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SA</w:t>
            </w:r>
          </w:p>
        </w:tc>
        <w:tc>
          <w:tcPr>
            <w:tcW w:type="dxa" w:w="87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Senior Ambassador queue — shift-level approval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10–15% BAR, Tier 2 account · Loyalty exception (Gold) · 3-night minimum waiver · Early check-in exceptions</w:t>
            </w:r>
          </w:p>
        </w:tc>
      </w:tr>
      <w:tr>
        <w:tc>
          <w:tcPr>
            <w:tcW w:type="dxa" w:w="6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AEED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GM</w:t>
            </w:r>
          </w:p>
        </w:tc>
        <w:tc>
          <w:tcPr>
            <w:tcW w:type="dxa" w:w="87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Hotel GM queue — property-level approval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15–18% BAR Tier 1 · Guest compensation &gt;€150 · VIP protocol exception · Finance cross-domain check</w:t>
            </w:r>
          </w:p>
        </w:tc>
      </w:tr>
      <w:tr>
        <w:tc>
          <w:tcPr>
            <w:tcW w:type="dxa" w:w="6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EEEDF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RG</w:t>
            </w:r>
          </w:p>
        </w:tc>
        <w:tc>
          <w:tcPr>
            <w:tcW w:type="dxa" w:w="87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Regional GM queue — multi-property approval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&gt;18% BAR strategic account · Cross-property rate parity exception · Shared supplier rate decision</w:t>
            </w:r>
          </w:p>
        </w:tc>
      </w:tr>
      <w:tr>
        <w:tc>
          <w:tcPr>
            <w:tcW w:type="dxa" w:w="6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CEBE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OC</w:t>
            </w:r>
          </w:p>
        </w:tc>
        <w:tc>
          <w:tcPr>
            <w:tcW w:type="dxa" w:w="87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Operations Chief queue — portfolio approval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New rate tier introduction · Floor price policy exception · AI governance policy change</w:t>
            </w:r>
          </w:p>
        </w:tc>
      </w:tr>
      <w:tr>
        <w:tc>
          <w:tcPr>
            <w:tcW w:type="dxa" w:w="6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CEBEB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✗</w:t>
            </w:r>
          </w:p>
        </w:tc>
        <w:tc>
          <w:tcPr>
            <w:tcW w:type="dxa" w:w="87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MUST NOT — hard block, no queue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No role can approve a MUST NOT breach through any queue. The governance file itself must be formally amended by the Compliance Officer.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8520A" w:sz="6" w:space="1"/>
        </w:pBdr>
        <w:spacing w:after="160" w:before="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Crawl Phase — Per-Role Shadow Queues</w:t>
      </w:r>
    </w:p>
    <w:p>
      <w:pPr>
        <w:spacing w:after="120"/>
      </w:pPr>
      <w:r>
        <w:rPr>
          <w:rFonts w:ascii="Arial" w:cs="Arial" w:eastAsia="Arial" w:hAnsi="Arial"/>
          <w:color w:val="4A4A6A"/>
          <w:sz w:val="21"/>
          <w:szCs w:val="21"/>
        </w:rPr>
        <w:t xml:space="preserve">During Crawl, three shadow queues run in parallel — one per role band. The Crawl phase does not end when two weeks pass. It ends when every band independently reaches ≥95% accuracy. A band that clears 95% early can begin Walk for that decision type while other bands are still in Crawl.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Crawl phase behaviour</w:t>
            </w:r>
          </w:p>
        </w:tc>
      </w:tr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Ambassador</w:t>
            </w:r>
          </w:p>
          <w:p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Front-line</w:t>
            </w:r>
          </w:p>
        </w:tc>
        <w:tc>
          <w:tcPr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Reviews standard decisions during shifts. ~15–25/shift. 2-week minimum, ≥95% correct before these decision types go autonomous. Highest volume, reviewed continuously.</w:t>
            </w:r>
          </w:p>
        </w:tc>
      </w:tr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Senior Ambassador</w:t>
            </w:r>
          </w:p>
          <w:p>
            <w:r>
              <w:rPr>
                <w:rFonts w:ascii="Arial" w:cs="Arial" w:eastAsia="Arial" w:hAnsi="Arial"/>
                <w:color w:val="0C447C"/>
                <w:sz w:val="18"/>
                <w:szCs w:val="18"/>
              </w:rPr>
              <w:t xml:space="preserve">Shift lead</w:t>
            </w:r>
          </w:p>
        </w:tc>
        <w:tc>
          <w:tcPr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Reviews loyalty exceptions and shift-level rate decisions at end of each shift. ~8–12/shift. Runs concurrently with Ambassador queue — both bands must reach 95% independently.</w:t>
            </w:r>
          </w:p>
        </w:tc>
      </w:tr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Hotel GM</w:t>
            </w:r>
          </w:p>
          <w:p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Single property</w:t>
            </w:r>
          </w:p>
        </w:tc>
        <w:tc>
          <w:tcPr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Reviews GM-band escalations. Lower volume (~3–5/day), typically reviewed at morning briefing. GM band must reach 95% independently — cannot be satisfied by Ambassador/SA accuracy.</w:t>
            </w:r>
          </w:p>
        </w:tc>
      </w:tr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Regional GM</w:t>
            </w:r>
          </w:p>
          <w:p>
            <w:r>
              <w:rPr>
                <w:rFonts w:ascii="Arial" w:cs="Arial" w:eastAsia="Arial" w:hAnsi="Arial"/>
                <w:color w:val="3C3489"/>
                <w:sz w:val="18"/>
                <w:szCs w:val="18"/>
              </w:rPr>
              <w:t xml:space="preserve">Multi-property</w:t>
            </w:r>
          </w:p>
        </w:tc>
        <w:tc>
          <w:tcPr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Cross-property decisions do not exist in a single-hotel Crawl. Regional GM shadow queue activates when Property 2 begins onboarding at Step 8.</w:t>
            </w:r>
          </w:p>
        </w:tc>
      </w:tr>
      <w:t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Compliance Officer</w:t>
            </w:r>
          </w:p>
          <w:p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Governance quality</w:t>
            </w:r>
          </w:p>
        </w:tc>
        <w:tc>
          <w:tcPr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Reviews aggregate exception patterns weekly — not individual decisions. Produces compliance report at Crawl end. Signs off file quality, not decision quality.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33806"/>
                <w:sz w:val="19"/>
                <w:szCs w:val="19"/>
              </w:rPr>
              <w:t xml:space="preserve">If Ambassadors are at 97% but Hotel GM-band decisions are at 88%, Crawl continues for the GM band. Each band earns its own Walk authorisation independently. A hotel can be in Walk for Ambassador decisions while GM decisions are still in Crawl.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8520A" w:sz="6" w:space="1"/>
        </w:pBdr>
        <w:spacing w:after="160" w:before="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HITL Gates — Step 6 Approval Structure</w:t>
      </w:r>
    </w:p>
    <w:p>
      <w:pPr>
        <w:spacing w:after="120"/>
      </w:pPr>
      <w:r>
        <w:rPr>
          <w:rFonts w:ascii="Arial" w:cs="Arial" w:eastAsia="Arial" w:hAnsi="Arial"/>
          <w:color w:val="4A4A6A"/>
          <w:sz w:val="21"/>
          <w:szCs w:val="21"/>
        </w:rPr>
        <w:t xml:space="preserve">Step 6 is not a single gate — it is one sign-off per role band plus the Compliance Officer. Each role approves only the decision types in their authority band. All gates must clear before Walk begins for that band.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E6F1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Gate 1a — Senior Ambassador: Do shadow decisions in my queue match how I handle shift-level situations?
Scope: Loyalty exception application, shift-level rate adjustments, early/late checkout decisions. Signs off only their band — does not approve GM-level decisions. Logged with timestamp to Witness Agent.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AEED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Gate 1b — Hotel GM: Are GM-level escalations routing correctly — nothing trivial to me, nothing serious bypassing me?
Scope: VIP exceptions, guest compensation decisions, finance cross-domain checks. Also confirms that Ambassador/SA-band decisions are not being over-escalated unnecessarily. Logged with timestamp.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1EF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Gate 2 — Compliance Officer: Do the governance files correctly encode compliance requirements across all authority levels?
Scope: Not evaluating decision quality — evaluating NIST control references, MUST/MUST NOT clause density per authority level, RACI ownership in YAML front matter, exception lifecycle metadata completeness. Signs once for the full agent stack.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EEED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Gate 3 — Regional GM (Step 8, at portfolio rollout): Is the pilot hotel's governance baseline appropriate to seed across my region?
Scope: Activates when the first property reaches Run phase and rollout to Property 2 begins. Confirms the LND baseline is appropriate as the seed for all regional properties and that cross-property exception thresholds are correctly set.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8520A" w:sz="6" w:space="1"/>
        </w:pBdr>
        <w:spacing w:after="160" w:before="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Escalation Chains</w:t>
      </w:r>
    </w:p>
    <w:p>
      <w:pPr>
        <w:spacing w:after="120"/>
      </w:pPr>
      <w:r>
        <w:rPr>
          <w:rFonts w:ascii="Arial" w:cs="Arial" w:eastAsia="Arial" w:hAnsi="Arial"/>
          <w:color w:val="4A4A6A"/>
          <w:sz w:val="21"/>
          <w:szCs w:val="21"/>
        </w:rPr>
        <w:t xml:space="preserve">Escalation targets are specified in the SOP.md clause. The agent never decides who to escalate to — the governance file does. The chain only goes up, never sideways.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 — Escalation chain</w:t>
            </w:r>
          </w:p>
        </w:tc>
      </w:tr>
      <w:tr>
        <w:tc>
          <w:tcPr>
            <w:tcW w:type="dxa" w:w="93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5% discount, loyalty tier implied in request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Within autonomous ceiling numerically. But 'loyalty discount' implies loyalty tier data — a prohibited PII field for rate decisions. Agent cannot verify segment basis independently.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Agent</w:t>
            </w: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Senior Ambassador</w:t>
            </w:r>
          </w:p>
        </w:tc>
      </w:tr>
      <w:tr>
        <w:tc>
          <w:tcPr>
            <w:tcW w:type="dxa" w:w="93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15% discount, Tier 1 account, exception overlay active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Within Tier 1 ceiling. Exception overlay exists. But application requires a named Revenue Manager authorisation token — cannot be applied autonomously.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Agent</w:t>
            </w: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Hotel GM</w:t>
            </w:r>
          </w:p>
        </w:tc>
      </w:tr>
      <w:tr>
        <w:tc>
          <w:tcPr>
            <w:tcW w:type="dxa" w:w="93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22% discount, strategic account, no exception overlay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Above all hotel-level ceilings. Cannot be resolved at property level — requires Regional GM authority.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Agent</w:t>
            </w: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Hotel GM</w:t>
            </w: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Regional GM</w:t>
            </w:r>
          </w:p>
        </w:tc>
      </w:tr>
      <w:tr>
        <w:tc>
          <w:tcPr>
            <w:tcW w:type="dxa" w:w="93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Scenario not covered by any governance clause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No clause matches. Agent cannot identify an escalation target. Triggers governance gap notification — a new exception overlay is required before this decision type can be handled.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Agent</w:t>
            </w: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Operations Chief</w:t>
            </w: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Compliance Officer</w:t>
            </w:r>
          </w:p>
        </w:tc>
      </w:tr>
      <w:tr>
        <w:tc>
          <w:tcPr>
            <w:tcW w:type="dxa" w:w="93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MUST NOT clause triggered — hard block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No escalation path exists. No role — not even the Operations Chief — can approve a MUST NOT breach through the queue. The governance file must be formally amended by the Compliance Officer.</w:t>
            </w:r>
          </w:p>
          <w:p>
            <w:r>
              <w:rPr>
                <w:rFonts w:ascii="Arial" w:cs="Arial" w:eastAsia="Arial" w:hAnsi="Arial"/>
                <w:b/>
                <w:bCs/>
                <w:color w:val="791F1F"/>
                <w:sz w:val="19"/>
                <w:szCs w:val="19"/>
              </w:rPr>
              <w:t xml:space="preserve">BLOCKED — formal file amendment required → Compliance Officer sign-off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8520A" w:sz="6" w:space="1"/>
        </w:pBdr>
        <w:spacing w:after="160" w:before="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Where Each Role Enters the 8-Step Onboarding Flow</w:t>
      </w:r>
    </w:p>
    <w:p>
      <w:pPr>
        <w:spacing w:after="120"/>
      </w:pPr>
      <w:r>
        <w:rPr>
          <w:rFonts w:ascii="Arial" w:cs="Arial" w:eastAsia="Arial" w:hAnsi="Arial"/>
          <w:color w:val="4A4A6A"/>
          <w:sz w:val="21"/>
          <w:szCs w:val="21"/>
        </w:rPr>
        <w:t xml:space="preserve">Each role enters at a different step. The flow is not sequential for all roles simultaneously — Ambassador and GM-band validation run in parallel during Crawl, and each band independently advances to Walk.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 and responsibilities</w:t>
            </w:r>
          </w:p>
        </w:tc>
      </w:tr>
      <w:tr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EAF3D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Ambassador</w:t>
            </w:r>
          </w:p>
        </w:tc>
        <w:tc>
          <w:tcPr>
            <w:tcW w:type="dxa" w:w="7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Step 3 — </w:t>
            </w: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Reviews SKILL.md (permitted API calls)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Step 5 — </w:t>
            </w: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Validates shadow queue for their band, ≥95% accuracy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Step 7 — </w:t>
            </w: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Walk: autonomous for their band, exceptions routed up to Senior Ambassador</w:t>
            </w:r>
          </w:p>
        </w:tc>
      </w:tr>
      <w:tr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Senior Ambassador</w:t>
            </w:r>
          </w:p>
        </w:tc>
        <w:tc>
          <w:tcPr>
            <w:tcW w:type="dxa" w:w="7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Step 3 — </w:t>
            </w: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Reviews SOP.md clauses covering shift-lead decisions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Step 5 — </w:t>
            </w: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Validates SA-band shadow queue during Crawl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Step 6 — </w:t>
            </w: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Gate 1a — shift-level governance sign-off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Step 7 — </w:t>
            </w: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Walk: receives SA-band HITL queue for live decisions</w:t>
            </w:r>
          </w:p>
        </w:tc>
      </w:tr>
      <w:tr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Hotel GM</w:t>
            </w:r>
          </w:p>
        </w:tc>
        <w:tc>
          <w:tcPr>
            <w:tcW w:type="dxa" w:w="7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Step 1 — </w:t>
            </w: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Confirms domain ownership and availability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Step 2 — </w:t>
            </w: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Confirms which agent goes first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Step 3 — </w:t>
            </w: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Reviews all three governance files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Step 4 — </w:t>
            </w: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Approves exception configurations (becomes EXCEPTION.md)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Step 5 — </w:t>
            </w: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Validates GM-band shadow queue during Crawl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Step 6 — </w:t>
            </w: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Gate 1b — property-level routing sign-off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Step 7→Run — </w:t>
            </w: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Co-signs Walk→Run progression with Compliance Officer</w:t>
            </w:r>
          </w:p>
        </w:tc>
      </w:tr>
      <w:tr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Regional GM</w:t>
            </w:r>
          </w:p>
        </w:tc>
        <w:tc>
          <w:tcPr>
            <w:tcW w:type="dxa" w:w="7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Step 1 — </w:t>
            </w: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Selects the pilot hotel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Step 8 — </w:t>
            </w: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Gate 3 — confirms baseline ready for portfolio rollout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Step 8+ — </w:t>
            </w: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Receives cross-property HITL queue once two hotels are live</w:t>
            </w:r>
          </w:p>
        </w:tc>
      </w:tr>
      <w:tr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CE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Operations Chief</w:t>
            </w:r>
          </w:p>
        </w:tc>
        <w:tc>
          <w:tcPr>
            <w:tcW w:type="dxa" w:w="7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Step 8 — </w:t>
            </w: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Portfolio-level Run phase sign-off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Ongoing — </w:t>
            </w: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Governance policy change approvals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Ongoing — </w:t>
            </w: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New agent class admissions</w:t>
            </w:r>
          </w:p>
        </w:tc>
      </w:tr>
      <w:tr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7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Step 3 — </w:t>
            </w: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Reviews compliance standards before files are approved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Step 5 — </w:t>
            </w: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Monitors exception patterns weekly during Crawl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Step 6 — </w:t>
            </w: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Gate 2 — compliance sign-off across all agent files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Step 7→Run — </w:t>
            </w: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Co-signs Walk→Run progression with Hotel GM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Ongoing — </w:t>
            </w:r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Exception lifecycle audit, SOC 2 evidence sign-off, MUST NOT amendments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8520A" w:sz="6" w:space="1"/>
        </w:pBdr>
        <w:spacing w:after="160" w:before="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The 8-Step Onboarding Flow — Role Involvement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 involved</w:t>
            </w:r>
          </w:p>
        </w:tc>
      </w:tr>
      <w:tr>
        <w:tc>
          <w:tcPr>
            <w:tcW w:type="dxa" w:w="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Select pilot hotel</w:t>
            </w:r>
          </w:p>
        </w:tc>
        <w:tc>
          <w:tcPr>
            <w:tcW w:type="dxa" w:w="6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Regional GM selects · Hotel GM confirms domain ownership · Compliance Officer briefed</w:t>
            </w:r>
          </w:p>
        </w:tc>
      </w:tr>
      <w:tr>
        <w:tc>
          <w:tcPr>
            <w:tcW w:type="dxa" w:w="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Choose first agent</w:t>
            </w:r>
          </w:p>
        </w:tc>
        <w:tc>
          <w:tcPr>
            <w:tcW w:type="dxa" w:w="6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Hotel GM confirms which agent · Ambassador + SA briefed on shadow queue format</w:t>
            </w:r>
          </w:p>
        </w:tc>
      </w:tr>
      <w:tr>
        <w:tc>
          <w:tcPr>
            <w:tcW w:type="dxa" w:w="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Review governance files</w:t>
            </w:r>
          </w:p>
        </w:tc>
        <w:tc>
          <w:tcPr>
            <w:tcW w:type="dxa" w:w="6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Hotel GM reviews all three files · SA reviews their SOP.md clauses · CCO reviews compliance standards</w:t>
            </w:r>
          </w:p>
        </w:tc>
      </w:tr>
      <w:tr>
        <w:tc>
          <w:tcPr>
            <w:tcW w:type="dxa" w:w="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Set local exceptions</w:t>
            </w:r>
          </w:p>
        </w:tc>
        <w:tc>
          <w:tcPr>
            <w:tcW w:type="dxa" w:w="6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Hotel GM approves exception configurations · CCO confirms exception lifecycle metadata</w:t>
            </w:r>
          </w:p>
        </w:tc>
      </w:tr>
      <w:tr>
        <w:tc>
          <w:tcPr>
            <w:tcW w:type="dxa" w:w="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Crawl phase</w:t>
            </w:r>
          </w:p>
        </w:tc>
        <w:tc>
          <w:tcPr>
            <w:tcW w:type="dxa" w:w="6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Ambassador shadow queue (shifts) · SA shadow queue (end of shift) · Hotel GM shadow queue (morning briefing) · CCO monitors patterns weekly</w:t>
            </w:r>
          </w:p>
        </w:tc>
      </w:tr>
      <w:tr>
        <w:tc>
          <w:tcPr>
            <w:tcW w:type="dxa" w:w="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HITL gates</w:t>
            </w:r>
          </w:p>
        </w:tc>
        <w:tc>
          <w:tcPr>
            <w:tcW w:type="dxa" w:w="6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Gate 1a: Senior Ambassador · Gate 1b: Hotel GM · Gate 2: Compliance Officer · All logged with timestamp</w:t>
            </w:r>
          </w:p>
        </w:tc>
      </w:tr>
      <w:tr>
        <w:tc>
          <w:tcPr>
            <w:tcW w:type="dxa" w:w="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Walk and Run</w:t>
            </w:r>
          </w:p>
        </w:tc>
        <w:tc>
          <w:tcPr>
            <w:tcW w:type="dxa" w:w="6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5F5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Ambassador: autonomous for their band · SA: HITL queue for SA-band · GM: HITL queue for GM-band · GM + CCO co-sign Walk→Run</w:t>
            </w:r>
          </w:p>
        </w:tc>
      </w:tr>
      <w:tr>
        <w:tc>
          <w:tcPr>
            <w:tcW w:type="dxa" w:w="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Portfolio rollout</w:t>
            </w:r>
          </w:p>
        </w:tc>
        <w:tc>
          <w:tcPr>
            <w:tcW w:type="dxa" w:w="6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6A"/>
                <w:sz w:val="19"/>
                <w:szCs w:val="19"/>
              </w:rPr>
              <w:t xml:space="preserve">Regional GM: Gate 3 baseline sign-off · New hotel Crawl phases begin · Operations Chief: portfolio Run sign-off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E8520A"/>
                <w:sz w:val="24"/>
                <w:szCs w:val="24"/>
              </w:rPr>
              <w:t xml:space="preserve">The core principle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Autonomous authority is earned through demonstrated performance, not granted at deployment. Every hotel earns it separately. Every agent earns it separately. Every role band earns it separately.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888899"/>
                <w:sz w:val="17"/>
                <w:szCs w:val="17"/>
              </w:rPr>
              <w:t xml:space="preserve">VDA-MD Framework  ·  C2MD (Compliance to Markdown)  ·  April 2026  ·  </w:t>
            </w:r>
            <w:r>
              <w:rPr>
                <w:rFonts w:ascii="Arial" w:cs="Arial" w:eastAsia="Arial" w:hAnsi="Arial"/>
                <w:color w:val="E8520A"/>
                <w:sz w:val="17"/>
                <w:szCs w:val="17"/>
              </w:rPr>
              <w:t xml:space="preserve">value-driven-ai-md-apaleo.replit.app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2026-04-17T07:27:59.151Z</dcterms:created>
  <dcterms:modified xsi:type="dcterms:W3CDTF">2026-04-17T07:27:59.154Z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