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color w:val="10233F"/>
          <w:sz w:val="46"/>
        </w:rPr>
        <w:t>DataFlow 탭 최종 설명문</w:t>
      </w:r>
    </w:p>
    <w:p>
      <w:pPr>
        <w:jc w:val="center"/>
      </w:pPr>
      <w:r>
        <w:rPr>
          <w:color w:val="3E6F66"/>
          <w:sz w:val="23"/>
        </w:rPr>
        <w:t>저장 이미지와 정보글 배치용 · 실제 코드 및 산출물 기준</w:t>
      </w:r>
    </w:p>
    <w:p>
      <w:pPr>
        <w:pStyle w:val="Heading1"/>
      </w:pPr>
      <w:r>
        <w:t>1. 탭의 목적</w:t>
      </w:r>
    </w:p>
    <w:p>
      <w:r>
        <w:t>DataFlow 탭은 계산이나 재학습을 수행하지 않는다. 조원들이 제공한 아키텍처 이미지와 확정 설명문을 순서대로 보여주며, 학습 흐름과 최근 예측 흐름, 자동화 범위, 저장 산출물의 역할을 설명한다.</w:t>
      </w:r>
    </w:p>
    <w:p>
      <w:pPr>
        <w:spacing w:before="100" w:after="140"/>
        <w:ind w:left="259" w:right="259"/>
        <w:shd w:fill="EEF5F2"/>
      </w:pPr>
      <w:r>
        <w:rPr>
          <w:b/>
          <w:color w:val="10233F"/>
        </w:rPr>
        <w:t>본 시스템은 확정 백테스트와 최신 데이터 기반 추론을 분리한 부분 자동화·재현 가능 분석 파이프라인이다.</w:t>
      </w:r>
    </w:p>
    <w:p>
      <w:pPr>
        <w:pStyle w:val="Heading1"/>
      </w:pPr>
      <w:r>
        <w:t>2. 최종 계층 정의</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계층</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정식 명칭</w:t>
            </w:r>
          </w:p>
        </w:tc>
        <w:tc>
          <w:tcPr>
            <w:tcW w:type="dxa" w:w="3408"/>
            <w:vAlign w:val="center"/>
            <w:shd w:fill="DCE8E4"/>
            <w:tcMar>
              <w:top w:w="90" w:type="dxa"/>
              <w:start w:w="90" w:type="dxa"/>
              <w:bottom w:w="90" w:type="dxa"/>
              <w:end w:w="90" w:type="dxa"/>
            </w:tcMar>
          </w:tcPr>
          <w:p>
            <w:pPr>
              <w:jc w:val="center"/>
            </w:pPr>
            <w:r>
              <w:rPr>
                <w:rFonts w:ascii="NanumSquare" w:hAnsi="NanumSquare" w:eastAsia="NanumSquare"/>
                <w:b/>
                <w:sz w:val="19"/>
              </w:rPr>
              <w:t>내용</w:t>
            </w:r>
          </w:p>
        </w:tc>
      </w:tr>
      <w:tr>
        <w:tc>
          <w:tcPr>
            <w:tcW w:type="dxa" w:w="3408"/>
            <w:vAlign w:val="center"/>
            <w:tcMar>
              <w:top w:w="90" w:type="dxa"/>
              <w:start w:w="90" w:type="dxa"/>
              <w:bottom w:w="90" w:type="dxa"/>
              <w:end w:w="90" w:type="dxa"/>
            </w:tcMar>
          </w:tcPr>
          <w:p>
            <w:r>
              <w:rPr>
                <w:rFonts w:ascii="NanumSquare" w:hAnsi="NanumSquare" w:eastAsia="NanumSquare"/>
                <w:sz w:val="18"/>
              </w:rPr>
              <w:t>DAS</w:t>
            </w:r>
          </w:p>
        </w:tc>
        <w:tc>
          <w:tcPr>
            <w:tcW w:type="dxa" w:w="3408"/>
            <w:vAlign w:val="center"/>
            <w:tcMar>
              <w:top w:w="90" w:type="dxa"/>
              <w:start w:w="90" w:type="dxa"/>
              <w:bottom w:w="90" w:type="dxa"/>
              <w:end w:w="90" w:type="dxa"/>
            </w:tcMar>
          </w:tcPr>
          <w:p>
            <w:r>
              <w:rPr>
                <w:rFonts w:ascii="NanumSquare" w:hAnsi="NanumSquare" w:eastAsia="NanumSquare"/>
                <w:sz w:val="18"/>
              </w:rPr>
              <w:t>Data Acquisition System</w:t>
            </w:r>
          </w:p>
        </w:tc>
        <w:tc>
          <w:tcPr>
            <w:tcW w:type="dxa" w:w="3408"/>
            <w:vAlign w:val="center"/>
            <w:tcMar>
              <w:top w:w="90" w:type="dxa"/>
              <w:start w:w="90" w:type="dxa"/>
              <w:bottom w:w="90" w:type="dxa"/>
              <w:end w:w="90" w:type="dxa"/>
            </w:tcMar>
          </w:tcPr>
          <w:p>
            <w:r>
              <w:rPr>
                <w:rFonts w:ascii="NanumSquare" w:hAnsi="NanumSquare" w:eastAsia="NanumSquare"/>
                <w:sz w:val="18"/>
              </w:rPr>
              <w:t>삼성전자·KOSPI·Bitcoin 주봉 수집, 날짜·결측·워밍업 점검</w:t>
            </w:r>
          </w:p>
        </w:tc>
      </w:tr>
      <w:tr>
        <w:tc>
          <w:tcPr>
            <w:tcW w:type="dxa" w:w="3408"/>
            <w:vAlign w:val="center"/>
            <w:tcMar>
              <w:top w:w="90" w:type="dxa"/>
              <w:start w:w="90" w:type="dxa"/>
              <w:bottom w:w="90" w:type="dxa"/>
              <w:end w:w="90" w:type="dxa"/>
            </w:tcMar>
          </w:tcPr>
          <w:p>
            <w:r>
              <w:rPr>
                <w:rFonts w:ascii="NanumSquare" w:hAnsi="NanumSquare" w:eastAsia="NanumSquare"/>
                <w:sz w:val="18"/>
              </w:rPr>
              <w:t>DSS</w:t>
            </w:r>
          </w:p>
        </w:tc>
        <w:tc>
          <w:tcPr>
            <w:tcW w:type="dxa" w:w="3408"/>
            <w:vAlign w:val="center"/>
            <w:tcMar>
              <w:top w:w="90" w:type="dxa"/>
              <w:start w:w="90" w:type="dxa"/>
              <w:bottom w:w="90" w:type="dxa"/>
              <w:end w:w="90" w:type="dxa"/>
            </w:tcMar>
          </w:tcPr>
          <w:p>
            <w:r>
              <w:rPr>
                <w:rFonts w:ascii="NanumSquare" w:hAnsi="NanumSquare" w:eastAsia="NanumSquare"/>
                <w:sz w:val="18"/>
              </w:rPr>
              <w:t>Data Storage System</w:t>
            </w:r>
          </w:p>
        </w:tc>
        <w:tc>
          <w:tcPr>
            <w:tcW w:type="dxa" w:w="3408"/>
            <w:vAlign w:val="center"/>
            <w:tcMar>
              <w:top w:w="90" w:type="dxa"/>
              <w:start w:w="90" w:type="dxa"/>
              <w:bottom w:w="90" w:type="dxa"/>
              <w:end w:w="90" w:type="dxa"/>
            </w:tcMar>
          </w:tcPr>
          <w:p>
            <w:r>
              <w:rPr>
                <w:rFonts w:ascii="NanumSquare" w:hAnsi="NanumSquare" w:eastAsia="NanumSquare"/>
                <w:sz w:val="18"/>
              </w:rPr>
              <w:t>data/cache, 공식 CSV, models 산출물 저장</w:t>
            </w:r>
          </w:p>
        </w:tc>
      </w:tr>
      <w:tr>
        <w:tc>
          <w:tcPr>
            <w:tcW w:type="dxa" w:w="3408"/>
            <w:vAlign w:val="center"/>
            <w:tcMar>
              <w:top w:w="90" w:type="dxa"/>
              <w:start w:w="90" w:type="dxa"/>
              <w:bottom w:w="90" w:type="dxa"/>
              <w:end w:w="90" w:type="dxa"/>
            </w:tcMar>
          </w:tcPr>
          <w:p>
            <w:r>
              <w:rPr>
                <w:rFonts w:ascii="NanumSquare" w:hAnsi="NanumSquare" w:eastAsia="NanumSquare"/>
                <w:sz w:val="18"/>
              </w:rPr>
              <w:t>JPS</w:t>
            </w:r>
          </w:p>
        </w:tc>
        <w:tc>
          <w:tcPr>
            <w:tcW w:type="dxa" w:w="3408"/>
            <w:vAlign w:val="center"/>
            <w:tcMar>
              <w:top w:w="90" w:type="dxa"/>
              <w:start w:w="90" w:type="dxa"/>
              <w:bottom w:w="90" w:type="dxa"/>
              <w:end w:w="90" w:type="dxa"/>
            </w:tcMar>
          </w:tcPr>
          <w:p>
            <w:r>
              <w:rPr>
                <w:rFonts w:ascii="NanumSquare" w:hAnsi="NanumSquare" w:eastAsia="NanumSquare"/>
                <w:sz w:val="18"/>
              </w:rPr>
              <w:t>Job Processing System</w:t>
            </w:r>
          </w:p>
        </w:tc>
        <w:tc>
          <w:tcPr>
            <w:tcW w:type="dxa" w:w="3408"/>
            <w:vAlign w:val="center"/>
            <w:tcMar>
              <w:top w:w="90" w:type="dxa"/>
              <w:start w:w="90" w:type="dxa"/>
              <w:bottom w:w="90" w:type="dxa"/>
              <w:end w:w="90" w:type="dxa"/>
            </w:tcMar>
          </w:tcPr>
          <w:p>
            <w:r>
              <w:rPr>
                <w:rFonts w:ascii="NanumSquare" w:hAnsi="NanumSquare" w:eastAsia="NanumSquare"/>
                <w:sz w:val="18"/>
              </w:rPr>
              <w:t>가격 lag, 삼성전자 residual·PC1, XGBoost 학습, 백테스트</w:t>
            </w:r>
          </w:p>
        </w:tc>
      </w:tr>
      <w:tr>
        <w:tc>
          <w:tcPr>
            <w:tcW w:type="dxa" w:w="3408"/>
            <w:vAlign w:val="center"/>
            <w:tcMar>
              <w:top w:w="90" w:type="dxa"/>
              <w:start w:w="90" w:type="dxa"/>
              <w:bottom w:w="90" w:type="dxa"/>
              <w:end w:w="90" w:type="dxa"/>
            </w:tcMar>
          </w:tcPr>
          <w:p>
            <w:r>
              <w:rPr>
                <w:rFonts w:ascii="NanumSquare" w:hAnsi="NanumSquare" w:eastAsia="NanumSquare"/>
                <w:sz w:val="18"/>
              </w:rPr>
              <w:t>WSS</w:t>
            </w:r>
          </w:p>
        </w:tc>
        <w:tc>
          <w:tcPr>
            <w:tcW w:type="dxa" w:w="3408"/>
            <w:vAlign w:val="center"/>
            <w:tcMar>
              <w:top w:w="90" w:type="dxa"/>
              <w:start w:w="90" w:type="dxa"/>
              <w:bottom w:w="90" w:type="dxa"/>
              <w:end w:w="90" w:type="dxa"/>
            </w:tcMar>
          </w:tcPr>
          <w:p>
            <w:r>
              <w:rPr>
                <w:rFonts w:ascii="NanumSquare" w:hAnsi="NanumSquare" w:eastAsia="NanumSquare"/>
                <w:sz w:val="18"/>
              </w:rPr>
              <w:t>Web Service System</w:t>
            </w:r>
          </w:p>
        </w:tc>
        <w:tc>
          <w:tcPr>
            <w:tcW w:type="dxa" w:w="3408"/>
            <w:vAlign w:val="center"/>
            <w:tcMar>
              <w:top w:w="90" w:type="dxa"/>
              <w:start w:w="90" w:type="dxa"/>
              <w:bottom w:w="90" w:type="dxa"/>
              <w:end w:w="90" w:type="dxa"/>
            </w:tcMar>
          </w:tcPr>
          <w:p>
            <w:r>
              <w:rPr>
                <w:rFonts w:ascii="NanumSquare" w:hAnsi="NanumSquare" w:eastAsia="NanumSquare"/>
                <w:sz w:val="18"/>
              </w:rPr>
              <w:t>Streamlit의 정적 공식 결과와 동적 최근 1회 예측 표출</w:t>
            </w:r>
          </w:p>
        </w:tc>
      </w:tr>
    </w:tbl>
    <w:p>
      <w:pPr>
        <w:pStyle w:val="Heading1"/>
      </w:pPr>
      <w:r>
        <w:t>3. 학습·백테스트 흐름</w:t>
      </w:r>
    </w:p>
    <w:p>
      <w:r>
        <w:t>1. 삼성전자·KOSPI·Bitcoin 주봉 OHLCV 수집 및 정렬</w:t>
      </w:r>
    </w:p>
    <w:p>
      <w:r>
        <w:t>2. 세 자산의 현재 종가와 과거 1~5주 로그수익률 생성</w:t>
      </w:r>
    </w:p>
    <w:p>
      <w:r>
        <w:t>3. 삼성전자 ATR_10·MFI_10·STOCHk_10_3_3 계산</w:t>
      </w:r>
    </w:p>
    <w:p>
      <w:r>
        <w:t>4. 삼성전자 RET·MOM·VOL 통제 후 residual 3개 생성</w:t>
      </w:r>
    </w:p>
    <w:p>
      <w:r>
        <w:t>5. residual 표준화 후 PCA로 Investor_Sentiment_PC1 생성</w:t>
      </w:r>
    </w:p>
    <w:p>
      <w:r>
        <w:t>6. 실험 1·2·3의 XGBoost 회귀모델 학습</w:t>
      </w:r>
    </w:p>
    <w:p>
      <w:r>
        <w:t>7. 동일한 58주와 5개 세부 기간 백테스트</w:t>
      </w:r>
    </w:p>
    <w:p>
      <w:r>
        <w:t>8. R²·RMSE·MAE·DA 등 평가 후 공식 CSV 저장</w:t>
      </w:r>
    </w:p>
    <w:p>
      <w:pPr>
        <w:pStyle w:val="Heading1"/>
      </w:pPr>
      <w:r>
        <w:t>4. 최근 1회 예측 흐름</w:t>
      </w:r>
    </w:p>
    <w:p>
      <w:r>
        <w:t>1. Streamlit 모델링/검증 탭에서 저장 Model B·C·D 중 선택</w:t>
      </w:r>
    </w:p>
    <w:p>
      <w:r>
        <w:t>2. 최신 삼성전자·KOSPI·Bitcoin 주봉 수집</w:t>
      </w:r>
    </w:p>
    <w:p>
      <w:r>
        <w:t>3. 삼성전자 residual과 저장 scaler·PCA 기반 PC1 재생성</w:t>
      </w:r>
    </w:p>
    <w:p>
      <w:r>
        <w:t>4. 세 자산 가격·로그수익률 lag feature 생성 및 기준일 정렬</w:t>
      </w:r>
    </w:p>
    <w:p>
      <w:r>
        <w:t>5. 선택 모델의 feature_names_in_ 순서에 맞춰 입력 정렬</w:t>
      </w:r>
    </w:p>
    <w:p>
      <w:r>
        <w:t>6. 연속형 pred_log_return 예측</w:t>
      </w:r>
    </w:p>
    <w:p>
      <w:r>
        <w:t>7. 예측값이 양수이면 UP, 0 이하이면 DOWN으로 판정</w:t>
      </w:r>
    </w:p>
    <w:p>
      <w:r>
        <w:t>8. 최신 입력·로그수익률·방향·차트를 대시보드에 표출</w:t>
      </w:r>
    </w:p>
    <w:p>
      <w:pPr>
        <w:pStyle w:val="Heading1"/>
      </w:pPr>
      <w:r>
        <w:t>5. 반드시 구분할 사항</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7"/>
              </w:rPr>
              <w:t>잘못된 표현</w:t>
            </w:r>
          </w:p>
        </w:tc>
        <w:tc>
          <w:tcPr>
            <w:tcW w:type="dxa" w:w="5112"/>
            <w:vAlign w:val="center"/>
            <w:shd w:fill="DCE8E4"/>
            <w:tcMar>
              <w:top w:w="90" w:type="dxa"/>
              <w:start w:w="90" w:type="dxa"/>
              <w:bottom w:w="90" w:type="dxa"/>
              <w:end w:w="90" w:type="dxa"/>
            </w:tcMar>
          </w:tcPr>
          <w:p>
            <w:pPr>
              <w:jc w:val="center"/>
            </w:pPr>
            <w:r>
              <w:rPr>
                <w:rFonts w:ascii="NanumSquare" w:hAnsi="NanumSquare" w:eastAsia="NanumSquare"/>
                <w:b/>
                <w:sz w:val="17"/>
              </w:rPr>
              <w:t>최종 표현</w:t>
            </w:r>
          </w:p>
        </w:tc>
      </w:tr>
      <w:tr>
        <w:tc>
          <w:tcPr>
            <w:tcW w:type="dxa" w:w="5112"/>
            <w:vAlign w:val="center"/>
            <w:tcMar>
              <w:top w:w="90" w:type="dxa"/>
              <w:start w:w="90" w:type="dxa"/>
              <w:bottom w:w="90" w:type="dxa"/>
              <w:end w:w="90" w:type="dxa"/>
            </w:tcMar>
          </w:tcPr>
          <w:p>
            <w:r>
              <w:rPr>
                <w:rFonts w:ascii="NanumSquare" w:hAnsi="NanumSquare" w:eastAsia="NanumSquare"/>
                <w:sz w:val="16"/>
              </w:rPr>
              <w:t>각 자산별 residual</w:t>
            </w:r>
          </w:p>
        </w:tc>
        <w:tc>
          <w:tcPr>
            <w:tcW w:type="dxa" w:w="5112"/>
            <w:vAlign w:val="center"/>
            <w:tcMar>
              <w:top w:w="90" w:type="dxa"/>
              <w:start w:w="90" w:type="dxa"/>
              <w:bottom w:w="90" w:type="dxa"/>
              <w:end w:w="90" w:type="dxa"/>
            </w:tcMar>
          </w:tcPr>
          <w:p>
            <w:r>
              <w:rPr>
                <w:rFonts w:ascii="NanumSquare" w:hAnsi="NanumSquare" w:eastAsia="NanumSquare"/>
                <w:sz w:val="16"/>
              </w:rPr>
              <w:t>삼성전자 residual만 생성</w:t>
            </w:r>
          </w:p>
        </w:tc>
      </w:tr>
      <w:tr>
        <w:tc>
          <w:tcPr>
            <w:tcW w:type="dxa" w:w="5112"/>
            <w:vAlign w:val="center"/>
            <w:tcMar>
              <w:top w:w="90" w:type="dxa"/>
              <w:start w:w="90" w:type="dxa"/>
              <w:bottom w:w="90" w:type="dxa"/>
              <w:end w:w="90" w:type="dxa"/>
            </w:tcMar>
          </w:tcPr>
          <w:p>
            <w:r>
              <w:rPr>
                <w:rFonts w:ascii="NanumSquare" w:hAnsi="NanumSquare" w:eastAsia="NanumSquare"/>
                <w:sz w:val="16"/>
              </w:rPr>
              <w:t>Ticker 더미 패널</w:t>
            </w:r>
          </w:p>
        </w:tc>
        <w:tc>
          <w:tcPr>
            <w:tcW w:type="dxa" w:w="5112"/>
            <w:vAlign w:val="center"/>
            <w:tcMar>
              <w:top w:w="90" w:type="dxa"/>
              <w:start w:w="90" w:type="dxa"/>
              <w:bottom w:w="90" w:type="dxa"/>
              <w:end w:w="90" w:type="dxa"/>
            </w:tcMar>
          </w:tcPr>
          <w:p>
            <w:r>
              <w:rPr>
                <w:rFonts w:ascii="NanumSquare" w:hAnsi="NanumSquare" w:eastAsia="NanumSquare"/>
                <w:sz w:val="16"/>
              </w:rPr>
              <w:t>삼성전자 기준일에 맞춘 다자산 feature 열 결합</w:t>
            </w:r>
          </w:p>
        </w:tc>
      </w:tr>
      <w:tr>
        <w:tc>
          <w:tcPr>
            <w:tcW w:type="dxa" w:w="5112"/>
            <w:vAlign w:val="center"/>
            <w:tcMar>
              <w:top w:w="90" w:type="dxa"/>
              <w:start w:w="90" w:type="dxa"/>
              <w:bottom w:w="90" w:type="dxa"/>
              <w:end w:w="90" w:type="dxa"/>
            </w:tcMar>
          </w:tcPr>
          <w:p>
            <w:r>
              <w:rPr>
                <w:rFonts w:ascii="NanumSquare" w:hAnsi="NanumSquare" w:eastAsia="NanumSquare"/>
                <w:sz w:val="16"/>
              </w:rPr>
              <w:t>모든 A-1~D pkl로 최근 예측</w:t>
            </w:r>
          </w:p>
        </w:tc>
        <w:tc>
          <w:tcPr>
            <w:tcW w:type="dxa" w:w="5112"/>
            <w:vAlign w:val="center"/>
            <w:tcMar>
              <w:top w:w="90" w:type="dxa"/>
              <w:start w:w="90" w:type="dxa"/>
              <w:bottom w:w="90" w:type="dxa"/>
              <w:end w:w="90" w:type="dxa"/>
            </w:tcMar>
          </w:tcPr>
          <w:p>
            <w:r>
              <w:rPr>
                <w:rFonts w:ascii="NanumSquare" w:hAnsi="NanumSquare" w:eastAsia="NanumSquare"/>
                <w:sz w:val="16"/>
              </w:rPr>
              <w:t>공식 성능은 A-1~D CSV, 최근 예측은 저장 B/C/D pkl</w:t>
            </w:r>
          </w:p>
        </w:tc>
      </w:tr>
      <w:tr>
        <w:tc>
          <w:tcPr>
            <w:tcW w:type="dxa" w:w="5112"/>
            <w:vAlign w:val="center"/>
            <w:tcMar>
              <w:top w:w="90" w:type="dxa"/>
              <w:start w:w="90" w:type="dxa"/>
              <w:bottom w:w="90" w:type="dxa"/>
              <w:end w:w="90" w:type="dxa"/>
            </w:tcMar>
          </w:tcPr>
          <w:p>
            <w:r>
              <w:rPr>
                <w:rFonts w:ascii="NanumSquare" w:hAnsi="NanumSquare" w:eastAsia="NanumSquare"/>
                <w:sz w:val="16"/>
              </w:rPr>
              <w:t>실시간 스트리밍</w:t>
            </w:r>
          </w:p>
        </w:tc>
        <w:tc>
          <w:tcPr>
            <w:tcW w:type="dxa" w:w="5112"/>
            <w:vAlign w:val="center"/>
            <w:tcMar>
              <w:top w:w="90" w:type="dxa"/>
              <w:start w:w="90" w:type="dxa"/>
              <w:bottom w:w="90" w:type="dxa"/>
              <w:end w:w="90" w:type="dxa"/>
            </w:tcMar>
          </w:tcPr>
          <w:p>
            <w:r>
              <w:rPr>
                <w:rFonts w:ascii="NanumSquare" w:hAnsi="NanumSquare" w:eastAsia="NanumSquare"/>
                <w:sz w:val="16"/>
              </w:rPr>
              <w:t>버튼 실행 기반 최신 주봉 수집과 캐시</w:t>
            </w:r>
          </w:p>
        </w:tc>
      </w:tr>
      <w:tr>
        <w:tc>
          <w:tcPr>
            <w:tcW w:type="dxa" w:w="5112"/>
            <w:vAlign w:val="center"/>
            <w:tcMar>
              <w:top w:w="90" w:type="dxa"/>
              <w:start w:w="90" w:type="dxa"/>
              <w:bottom w:w="90" w:type="dxa"/>
              <w:end w:w="90" w:type="dxa"/>
            </w:tcMar>
          </w:tcPr>
          <w:p>
            <w:r>
              <w:rPr>
                <w:rFonts w:ascii="NanumSquare" w:hAnsi="NanumSquare" w:eastAsia="NanumSquare"/>
                <w:sz w:val="16"/>
              </w:rPr>
              <w:t>순수 심리 제거·추출</w:t>
            </w:r>
          </w:p>
        </w:tc>
        <w:tc>
          <w:tcPr>
            <w:tcW w:type="dxa" w:w="5112"/>
            <w:vAlign w:val="center"/>
            <w:tcMar>
              <w:top w:w="90" w:type="dxa"/>
              <w:start w:w="90" w:type="dxa"/>
              <w:bottom w:w="90" w:type="dxa"/>
              <w:end w:w="90" w:type="dxa"/>
            </w:tcMar>
          </w:tcPr>
          <w:p>
            <w:r>
              <w:rPr>
                <w:rFonts w:ascii="NanumSquare" w:hAnsi="NanumSquare" w:eastAsia="NanumSquare"/>
                <w:sz w:val="16"/>
              </w:rPr>
              <w:t>통제변수로 설명되지 않는 잔여 성분의 간접 proxy</w:t>
            </w:r>
          </w:p>
        </w:tc>
      </w:tr>
      <w:tr>
        <w:tc>
          <w:tcPr>
            <w:tcW w:type="dxa" w:w="5112"/>
            <w:vAlign w:val="center"/>
            <w:tcMar>
              <w:top w:w="90" w:type="dxa"/>
              <w:start w:w="90" w:type="dxa"/>
              <w:bottom w:w="90" w:type="dxa"/>
              <w:end w:w="90" w:type="dxa"/>
            </w:tcMar>
          </w:tcPr>
          <w:p>
            <w:r>
              <w:rPr>
                <w:rFonts w:ascii="NanumSquare" w:hAnsi="NanumSquare" w:eastAsia="NanumSquare"/>
                <w:sz w:val="16"/>
              </w:rPr>
              <w:t>상승·하락 확률 출력</w:t>
            </w:r>
          </w:p>
        </w:tc>
        <w:tc>
          <w:tcPr>
            <w:tcW w:type="dxa" w:w="5112"/>
            <w:vAlign w:val="center"/>
            <w:tcMar>
              <w:top w:w="90" w:type="dxa"/>
              <w:start w:w="90" w:type="dxa"/>
              <w:bottom w:w="90" w:type="dxa"/>
              <w:end w:w="90" w:type="dxa"/>
            </w:tcMar>
          </w:tcPr>
          <w:p>
            <w:r>
              <w:rPr>
                <w:rFonts w:ascii="NanumSquare" w:hAnsi="NanumSquare" w:eastAsia="NanumSquare"/>
                <w:sz w:val="16"/>
              </w:rPr>
              <w:t>연속형 로그수익률 예측 후 부호로 방향 판정</w:t>
            </w:r>
          </w:p>
        </w:tc>
      </w:tr>
      <w:tr>
        <w:tc>
          <w:tcPr>
            <w:tcW w:type="dxa" w:w="5112"/>
            <w:vAlign w:val="center"/>
            <w:tcMar>
              <w:top w:w="90" w:type="dxa"/>
              <w:start w:w="90" w:type="dxa"/>
              <w:bottom w:w="90" w:type="dxa"/>
              <w:end w:w="90" w:type="dxa"/>
            </w:tcMar>
          </w:tcPr>
          <w:p>
            <w:r>
              <w:rPr>
                <w:rFonts w:ascii="NanumSquare" w:hAnsi="NanumSquare" w:eastAsia="NanumSquare"/>
                <w:sz w:val="16"/>
              </w:rPr>
              <w:t>완전 자동 학습</w:t>
            </w:r>
          </w:p>
        </w:tc>
        <w:tc>
          <w:tcPr>
            <w:tcW w:type="dxa" w:w="5112"/>
            <w:vAlign w:val="center"/>
            <w:tcMar>
              <w:top w:w="90" w:type="dxa"/>
              <w:start w:w="90" w:type="dxa"/>
              <w:bottom w:w="90" w:type="dxa"/>
              <w:end w:w="90" w:type="dxa"/>
            </w:tcMar>
          </w:tcPr>
          <w:p>
            <w:r>
              <w:rPr>
                <w:rFonts w:ascii="NanumSquare" w:hAnsi="NanumSquare" w:eastAsia="NanumSquare"/>
                <w:sz w:val="16"/>
              </w:rPr>
              <w:t>확정 백테스트와 최신 추론을 분리한 부분 자동화</w:t>
            </w:r>
          </w:p>
        </w:tc>
      </w:tr>
    </w:tbl>
    <w:p>
      <w:pPr>
        <w:pStyle w:val="Heading1"/>
      </w:pPr>
      <w:r>
        <w:t>6. 이미지 배치 순서</w:t>
      </w:r>
    </w:p>
    <w:p>
      <w:pPr>
        <w:pStyle w:val="ListBullet"/>
      </w:pPr>
      <w:r>
        <w:t>아키텍처 표지</w:t>
      </w:r>
    </w:p>
    <w:p>
      <w:pPr>
        <w:pStyle w:val="ListBullet"/>
      </w:pPr>
      <w:r>
        <w:t>연구 프레임워크 개요</w:t>
      </w:r>
    </w:p>
    <w:p>
      <w:pPr>
        <w:pStyle w:val="ListBullet"/>
      </w:pPr>
      <w:r>
        <w:t>DAS 데이터 수집</w:t>
      </w:r>
    </w:p>
    <w:p>
      <w:pPr>
        <w:pStyle w:val="ListBullet"/>
      </w:pPr>
      <w:r>
        <w:t>DSS 저장 구조</w:t>
      </w:r>
    </w:p>
    <w:p>
      <w:pPr>
        <w:pStyle w:val="ListBullet"/>
      </w:pPr>
      <w:r>
        <w:t>JPS residual·PCA</w:t>
      </w:r>
    </w:p>
    <w:p>
      <w:pPr>
        <w:pStyle w:val="ListBullet"/>
      </w:pPr>
      <w:r>
        <w:t>JPS XGBoost 회귀</w:t>
      </w:r>
    </w:p>
    <w:p>
      <w:pPr>
        <w:pStyle w:val="ListBullet"/>
      </w:pPr>
      <w:r>
        <w:t>회귀와 방향평가 설명</w:t>
      </w:r>
    </w:p>
    <w:p>
      <w:pPr>
        <w:pStyle w:val="ListBullet"/>
      </w:pPr>
      <w:r>
        <w:t>백테스트·공식 산출물</w:t>
      </w:r>
    </w:p>
    <w:p>
      <w:pPr>
        <w:pStyle w:val="ListBullet"/>
      </w:pPr>
      <w:r>
        <w:t>WSS Streamlit 표출</w:t>
      </w:r>
    </w:p>
    <w:p>
      <w:pPr>
        <w:pStyle w:val="ListBullet"/>
      </w:pPr>
      <w:r>
        <w:t>실제 결과 요약</w:t>
      </w:r>
    </w:p>
    <w:p>
      <w:r>
        <w:t>기존 이미지 중 KOSDAQ·일별·실시간 스트리밍·순수 심리·대폭 향상 문구는 수정 후 사용한다. Q&amp;A 이미지는 DataFlow 탭이 아니라 발표자료 마지막에 배치한다.</w:t>
      </w:r>
    </w:p>
    <w:p>
      <w:pPr>
        <w:pStyle w:val="Heading1"/>
      </w:pPr>
      <w:r>
        <w:t>7. 탭 상단 안내문</w:t>
      </w:r>
    </w:p>
    <w:p>
      <w:r>
        <w:t>이 탭은 삼성전자·KOSPI·Bitcoin 주봉 데이터가 가격 feature와 삼성전자 심리 proxy로 변환되고, XGBoost 학습·백테스트·저장 산출물·최근 예측으로 연결되는 전체 구조를 설명합니다. 공식 백테스트는 동일한 비교조건을 유지하기 위해 확정 CSV로 표시하고, 최신 1회 예측은 저장 모델과 실행 시점의 최근 주봉으로 별도 수행합니다.</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80"/>
    </w:pPr>
    <w:rPr>
      <w:rFonts w:ascii="NanumSquare" w:hAnsi="NanumSquare" w:eastAsia="NanumSquar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023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0E66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E6F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023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