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Synthetic financing rule</w:t>
      </w:r>
    </w:p>
    <w:p>
      <w:r>
        <w:t xml:space="preserve">The maximum financing limit for one domestic invoice is 300 CNY.</w:t>
      </w:r>
    </w:p>
    <w:sectPr>
      <w:pgSz w:w="12240" w:h="15840"/>
      <w:pgMar w:top="1440" w:right="1440" w:bottom="1440" w:left="1440"/>
    </w:sectPr>
  </w:body>
</w:document>
</file>