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clear" w:pos="708"/>
          <w:tab w:val="left" w:pos="426" w:leader="none"/>
          <w:tab w:val="left" w:pos="1985" w:leader="none"/>
        </w:tabs>
        <w:spacing w:lineRule="auto" w:line="240" w:before="0"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Приложение № 4</w:t>
      </w:r>
    </w:p>
    <w:p>
      <w:pPr>
        <w:pStyle w:val="Normal"/>
        <w:tabs>
          <w:tab w:val="clear" w:pos="708"/>
          <w:tab w:val="left" w:pos="426" w:leader="none"/>
          <w:tab w:val="left" w:pos="1985" w:leader="none"/>
        </w:tabs>
        <w:spacing w:lineRule="auto" w:line="240" w:before="0"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426" w:leader="none"/>
          <w:tab w:val="left" w:pos="1985" w:leader="none"/>
        </w:tabs>
        <w:spacing w:lineRule="auto" w:line="240" w:before="0" w:after="0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Смета реализации проекта</w:t>
      </w:r>
    </w:p>
    <w:p>
      <w:pPr>
        <w:pStyle w:val="Normal"/>
        <w:tabs>
          <w:tab w:val="clear" w:pos="708"/>
          <w:tab w:val="left" w:pos="426" w:leader="none"/>
          <w:tab w:val="left" w:pos="1985" w:leader="none"/>
        </w:tabs>
        <w:spacing w:lineRule="auto" w:line="240" w:before="0" w:after="0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tbl>
      <w:tblPr>
        <w:tblStyle w:val="a3"/>
        <w:tblW w:w="94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767"/>
        <w:gridCol w:w="3961"/>
        <w:gridCol w:w="885"/>
        <w:gridCol w:w="1565"/>
        <w:gridCol w:w="876"/>
        <w:gridCol w:w="1405"/>
      </w:tblGrid>
      <w:tr>
        <w:trPr/>
        <w:tc>
          <w:tcPr>
            <w:tcW w:w="767" w:type="dxa"/>
            <w:vMerge w:val="restart"/>
            <w:tcBorders/>
            <w:shd w:fill="auto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№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этапа</w:t>
            </w:r>
          </w:p>
        </w:tc>
        <w:tc>
          <w:tcPr>
            <w:tcW w:w="3961" w:type="dxa"/>
            <w:vMerge w:val="restart"/>
            <w:tcBorders/>
            <w:shd w:fill="auto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Направление расходов</w:t>
            </w:r>
          </w:p>
        </w:tc>
        <w:tc>
          <w:tcPr>
            <w:tcW w:w="3326" w:type="dxa"/>
            <w:gridSpan w:val="3"/>
            <w:tcBorders/>
            <w:shd w:fill="auto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Размер финансирования, руб., в том числе из средств:</w:t>
            </w:r>
          </w:p>
        </w:tc>
        <w:tc>
          <w:tcPr>
            <w:tcW w:w="1405" w:type="dxa"/>
            <w:vMerge w:val="restart"/>
            <w:tcBorders/>
            <w:shd w:fill="auto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Доля софинанси-рования, %</w:t>
            </w:r>
          </w:p>
        </w:tc>
      </w:tr>
      <w:tr>
        <w:trPr/>
        <w:tc>
          <w:tcPr>
            <w:tcW w:w="767" w:type="dxa"/>
            <w:vMerge w:val="continue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961" w:type="dxa"/>
            <w:vMerge w:val="continue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85" w:type="dxa"/>
            <w:tcBorders/>
            <w:shd w:fill="auto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гранта</w:t>
            </w:r>
          </w:p>
        </w:tc>
        <w:tc>
          <w:tcPr>
            <w:tcW w:w="1565" w:type="dxa"/>
            <w:tcBorders/>
            <w:shd w:fill="auto" w:val="clea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cофинансиро</w:t>
            </w:r>
          </w:p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вания</w:t>
            </w:r>
          </w:p>
        </w:tc>
        <w:tc>
          <w:tcPr>
            <w:tcW w:w="876" w:type="dxa"/>
            <w:tcBorders/>
            <w:shd w:fill="auto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всего</w:t>
            </w:r>
          </w:p>
        </w:tc>
        <w:tc>
          <w:tcPr>
            <w:tcW w:w="1405" w:type="dxa"/>
            <w:vMerge w:val="continue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767" w:type="dxa"/>
            <w:tcBorders/>
            <w:shd w:fill="auto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961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Расходы на оплату труда работников, связанных с реализацией проекта, а также страховых взносов во внебюджетные фонды, установленные законодательством Российской Федерации (максимальный уровень заработной платы на одного работника не может превышать 240 000 (двести сорок тысяч) рублей в месяц)</w:t>
            </w:r>
          </w:p>
        </w:tc>
        <w:tc>
          <w:tcPr>
            <w:tcW w:w="885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6 500 000</w:t>
            </w:r>
          </w:p>
        </w:tc>
        <w:tc>
          <w:tcPr>
            <w:tcW w:w="1565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76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6 500 000</w:t>
            </w:r>
          </w:p>
        </w:tc>
        <w:tc>
          <w:tcPr>
            <w:tcW w:w="1405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767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961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pacing w:val="10"/>
                <w:sz w:val="24"/>
                <w:szCs w:val="24"/>
              </w:rPr>
              <w:t xml:space="preserve">Накладные  расходы  (не  более </w:t>
            </w: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10%</w:t>
            </w:r>
            <w:r>
              <w:rPr>
                <w:rFonts w:cs="Times New Roman" w:ascii="Times New Roman" w:hAnsi="Times New Roman"/>
                <w:color w:val="000000"/>
                <w:spacing w:val="203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от  общего</w:t>
            </w:r>
            <w:r>
              <w:rPr>
                <w:rFonts w:cs="Times New Roman" w:ascii="Times New Roman" w:hAnsi="Times New Roman"/>
                <w:color w:val="000000"/>
                <w:spacing w:val="72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размера  Сметы проекта)</w:t>
            </w:r>
          </w:p>
        </w:tc>
        <w:tc>
          <w:tcPr>
            <w:tcW w:w="885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1565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1 000 000</w:t>
            </w:r>
          </w:p>
        </w:tc>
        <w:tc>
          <w:tcPr>
            <w:tcW w:w="876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1 000 000</w:t>
            </w:r>
          </w:p>
        </w:tc>
        <w:tc>
          <w:tcPr>
            <w:tcW w:w="1405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100%</w:t>
            </w:r>
          </w:p>
        </w:tc>
      </w:tr>
      <w:tr>
        <w:trPr/>
        <w:tc>
          <w:tcPr>
            <w:tcW w:w="767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961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 xml:space="preserve">Расходы  на  оплату  работ  (услуг) сторонних организаций, </w:t>
            </w:r>
            <w:r>
              <w:rPr>
                <w:rFonts w:cs="Times New Roman" w:ascii="Times New Roman" w:hAnsi="Times New Roman"/>
                <w:color w:val="000000"/>
                <w:spacing w:val="7"/>
                <w:sz w:val="24"/>
                <w:szCs w:val="24"/>
              </w:rPr>
              <w:t xml:space="preserve">непосредственно  привлекаемых </w:t>
            </w: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для реализации проекта (не более 35%  от</w:t>
            </w:r>
            <w:r>
              <w:rPr>
                <w:rFonts w:cs="Times New Roman" w:ascii="Times New Roman" w:hAnsi="Times New Roman"/>
                <w:color w:val="000000"/>
                <w:spacing w:val="104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общего  размера  Сметы проекта)</w:t>
            </w:r>
          </w:p>
        </w:tc>
        <w:tc>
          <w:tcPr>
            <w:tcW w:w="885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3 500 000</w:t>
            </w:r>
          </w:p>
        </w:tc>
        <w:tc>
          <w:tcPr>
            <w:tcW w:w="1565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1 000 000</w:t>
            </w:r>
          </w:p>
        </w:tc>
        <w:tc>
          <w:tcPr>
            <w:tcW w:w="876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4 500 000</w:t>
            </w:r>
          </w:p>
        </w:tc>
        <w:tc>
          <w:tcPr>
            <w:tcW w:w="1405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22%</w:t>
            </w:r>
          </w:p>
        </w:tc>
      </w:tr>
      <w:tr>
        <w:trPr/>
        <w:tc>
          <w:tcPr>
            <w:tcW w:w="767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961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Расходы</w:t>
            </w:r>
            <w:r>
              <w:rPr>
                <w:rFonts w:cs="Times New Roman" w:ascii="Times New Roman" w:hAnsi="Times New Roman"/>
                <w:color w:val="000000"/>
                <w:spacing w:val="458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на</w:t>
            </w:r>
            <w:r>
              <w:rPr>
                <w:rFonts w:cs="Times New Roman" w:ascii="Times New Roman" w:hAnsi="Times New Roman"/>
                <w:color w:val="000000"/>
                <w:spacing w:val="457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приобретение нефинансовых</w:t>
            </w:r>
            <w:r>
              <w:rPr>
                <w:rFonts w:cs="Times New Roman" w:ascii="Times New Roman" w:hAnsi="Times New Roman"/>
                <w:color w:val="000000"/>
                <w:spacing w:val="56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активов  (из</w:t>
            </w:r>
            <w:r>
              <w:rPr>
                <w:rFonts w:cs="Times New Roman" w:ascii="Times New Roman" w:hAnsi="Times New Roman"/>
                <w:color w:val="000000"/>
                <w:spacing w:val="55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них</w:t>
            </w:r>
            <w:r>
              <w:rPr>
                <w:rFonts w:cs="Times New Roman" w:ascii="Times New Roman" w:hAnsi="Times New Roman"/>
                <w:color w:val="000000"/>
                <w:spacing w:val="55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 xml:space="preserve">– </w:t>
            </w:r>
            <w:r>
              <w:rPr>
                <w:rFonts w:cs="Times New Roman" w:ascii="Times New Roman" w:hAnsi="Times New Roman"/>
                <w:color w:val="000000"/>
                <w:spacing w:val="6"/>
                <w:sz w:val="24"/>
                <w:szCs w:val="24"/>
              </w:rPr>
              <w:t xml:space="preserve">расходы  на  инфраструктуру  не </w:t>
            </w: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более  30%</w:t>
            </w:r>
            <w:r>
              <w:rPr>
                <w:rFonts w:cs="Times New Roman" w:ascii="Times New Roman" w:hAnsi="Times New Roman"/>
                <w:color w:val="000000"/>
                <w:spacing w:val="131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от</w:t>
            </w:r>
            <w:r>
              <w:rPr>
                <w:rFonts w:cs="Times New Roman" w:ascii="Times New Roman" w:hAnsi="Times New Roman"/>
                <w:color w:val="000000"/>
                <w:spacing w:val="132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 xml:space="preserve">общего  размера Сметы проекта) </w:t>
            </w:r>
          </w:p>
        </w:tc>
        <w:tc>
          <w:tcPr>
            <w:tcW w:w="885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1565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76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1405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500" w:hRule="atLeast"/>
        </w:trPr>
        <w:tc>
          <w:tcPr>
            <w:tcW w:w="4728" w:type="dxa"/>
            <w:gridSpan w:val="2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Итого по этапу 1</w:t>
            </w:r>
          </w:p>
        </w:tc>
        <w:tc>
          <w:tcPr>
            <w:tcW w:w="885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10 000 000</w:t>
            </w:r>
          </w:p>
        </w:tc>
        <w:tc>
          <w:tcPr>
            <w:tcW w:w="1565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876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10 000 000</w:t>
            </w:r>
          </w:p>
        </w:tc>
        <w:tc>
          <w:tcPr>
            <w:tcW w:w="1405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20% </w:t>
            </w:r>
          </w:p>
        </w:tc>
      </w:tr>
      <w:tr>
        <w:trPr/>
        <w:tc>
          <w:tcPr>
            <w:tcW w:w="767" w:type="dxa"/>
            <w:vMerge w:val="restart"/>
            <w:tcBorders/>
            <w:shd w:fill="auto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3961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Расходы на оплату труда работников, связанных с реализацией проекта, а также страховых взносов во внебюджетные фонды, установленные законодательством Российской Федерации (максимальный уровень заработной платы на одного работника не может превышать 240 000 (двести сорок тысяч) рублей в месяц)</w:t>
            </w:r>
          </w:p>
        </w:tc>
        <w:tc>
          <w:tcPr>
            <w:tcW w:w="885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6 500 000</w:t>
            </w:r>
          </w:p>
        </w:tc>
        <w:tc>
          <w:tcPr>
            <w:tcW w:w="1565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76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6 500 000</w:t>
            </w:r>
          </w:p>
        </w:tc>
        <w:tc>
          <w:tcPr>
            <w:tcW w:w="1405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6%</w:t>
            </w:r>
          </w:p>
        </w:tc>
      </w:tr>
      <w:tr>
        <w:trPr/>
        <w:tc>
          <w:tcPr>
            <w:tcW w:w="767" w:type="dxa"/>
            <w:vMerge w:val="continue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961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pacing w:val="10"/>
                <w:sz w:val="24"/>
                <w:szCs w:val="24"/>
              </w:rPr>
              <w:t xml:space="preserve">Накладные  расходы  (не  более </w:t>
            </w: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10%</w:t>
            </w:r>
            <w:r>
              <w:rPr>
                <w:rFonts w:cs="Times New Roman" w:ascii="Times New Roman" w:hAnsi="Times New Roman"/>
                <w:color w:val="000000"/>
                <w:spacing w:val="203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от  общего</w:t>
            </w:r>
            <w:r>
              <w:rPr>
                <w:rFonts w:cs="Times New Roman" w:ascii="Times New Roman" w:hAnsi="Times New Roman"/>
                <w:color w:val="000000"/>
                <w:spacing w:val="72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размера  Сметы проекта)</w:t>
            </w:r>
          </w:p>
        </w:tc>
        <w:tc>
          <w:tcPr>
            <w:tcW w:w="885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1565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1 000 000</w:t>
            </w:r>
          </w:p>
        </w:tc>
        <w:tc>
          <w:tcPr>
            <w:tcW w:w="876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1 000 000</w:t>
            </w:r>
          </w:p>
        </w:tc>
        <w:tc>
          <w:tcPr>
            <w:tcW w:w="1405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100%</w:t>
            </w:r>
          </w:p>
        </w:tc>
      </w:tr>
      <w:tr>
        <w:trPr/>
        <w:tc>
          <w:tcPr>
            <w:tcW w:w="767" w:type="dxa"/>
            <w:vMerge w:val="continue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961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Расходы  на  оплату  работ  (услуг) сторонних организаций, непосредственно  привлекаемых для реализации проекта (не более 35%  от общего  размера  Сметы проекта</w:t>
            </w:r>
          </w:p>
        </w:tc>
        <w:tc>
          <w:tcPr>
            <w:tcW w:w="885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3 500 000</w:t>
            </w:r>
          </w:p>
        </w:tc>
        <w:tc>
          <w:tcPr>
            <w:tcW w:w="1565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1 000 000</w:t>
            </w:r>
          </w:p>
        </w:tc>
        <w:tc>
          <w:tcPr>
            <w:tcW w:w="876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4 500 000</w:t>
            </w:r>
          </w:p>
        </w:tc>
        <w:tc>
          <w:tcPr>
            <w:tcW w:w="1405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22%</w:t>
            </w:r>
          </w:p>
        </w:tc>
      </w:tr>
      <w:tr>
        <w:trPr/>
        <w:tc>
          <w:tcPr>
            <w:tcW w:w="767" w:type="dxa"/>
            <w:vMerge w:val="continue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961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Расходы</w:t>
            </w:r>
            <w:r>
              <w:rPr>
                <w:rFonts w:cs="Times New Roman" w:ascii="Times New Roman" w:hAnsi="Times New Roman"/>
                <w:color w:val="000000"/>
                <w:spacing w:val="458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на</w:t>
            </w:r>
            <w:r>
              <w:rPr>
                <w:rFonts w:cs="Times New Roman" w:ascii="Times New Roman" w:hAnsi="Times New Roman"/>
                <w:color w:val="000000"/>
                <w:spacing w:val="457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приобретение нефинансовых</w:t>
            </w:r>
            <w:r>
              <w:rPr>
                <w:rFonts w:cs="Times New Roman" w:ascii="Times New Roman" w:hAnsi="Times New Roman"/>
                <w:color w:val="000000"/>
                <w:spacing w:val="56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активов  (из</w:t>
            </w:r>
            <w:r>
              <w:rPr>
                <w:rFonts w:cs="Times New Roman" w:ascii="Times New Roman" w:hAnsi="Times New Roman"/>
                <w:color w:val="000000"/>
                <w:spacing w:val="55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них</w:t>
            </w:r>
            <w:r>
              <w:rPr>
                <w:rFonts w:cs="Times New Roman" w:ascii="Times New Roman" w:hAnsi="Times New Roman"/>
                <w:color w:val="000000"/>
                <w:spacing w:val="55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 xml:space="preserve">– </w:t>
            </w:r>
            <w:r>
              <w:rPr>
                <w:rFonts w:cs="Times New Roman" w:ascii="Times New Roman" w:hAnsi="Times New Roman"/>
                <w:color w:val="000000"/>
                <w:spacing w:val="6"/>
                <w:sz w:val="24"/>
                <w:szCs w:val="24"/>
              </w:rPr>
              <w:t xml:space="preserve">расходы  на  инфраструктуру  не </w:t>
            </w: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более  30%</w:t>
            </w:r>
            <w:r>
              <w:rPr>
                <w:rFonts w:cs="Times New Roman" w:ascii="Times New Roman" w:hAnsi="Times New Roman"/>
                <w:color w:val="000000"/>
                <w:spacing w:val="131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от</w:t>
            </w:r>
            <w:r>
              <w:rPr>
                <w:rFonts w:cs="Times New Roman" w:ascii="Times New Roman" w:hAnsi="Times New Roman"/>
                <w:color w:val="000000"/>
                <w:spacing w:val="132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 xml:space="preserve">общего  размера Сметы проекта) </w:t>
            </w:r>
          </w:p>
        </w:tc>
        <w:tc>
          <w:tcPr>
            <w:tcW w:w="885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1565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76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1405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341" w:hRule="atLeast"/>
        </w:trPr>
        <w:tc>
          <w:tcPr>
            <w:tcW w:w="4728" w:type="dxa"/>
            <w:gridSpan w:val="2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Итого по этапу 2</w:t>
            </w:r>
          </w:p>
        </w:tc>
        <w:tc>
          <w:tcPr>
            <w:tcW w:w="885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10 000 000</w:t>
            </w:r>
          </w:p>
        </w:tc>
        <w:tc>
          <w:tcPr>
            <w:tcW w:w="1565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876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10 000 000</w:t>
            </w:r>
          </w:p>
        </w:tc>
        <w:tc>
          <w:tcPr>
            <w:tcW w:w="1405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20%</w:t>
            </w:r>
          </w:p>
        </w:tc>
      </w:tr>
      <w:tr>
        <w:trPr/>
        <w:tc>
          <w:tcPr>
            <w:tcW w:w="4728" w:type="dxa"/>
            <w:gridSpan w:val="2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Итого по проекту</w:t>
            </w:r>
          </w:p>
        </w:tc>
        <w:tc>
          <w:tcPr>
            <w:tcW w:w="885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20 000 000</w:t>
            </w:r>
          </w:p>
        </w:tc>
        <w:tc>
          <w:tcPr>
            <w:tcW w:w="1565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876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20 000 000</w:t>
            </w:r>
          </w:p>
        </w:tc>
        <w:tc>
          <w:tcPr>
            <w:tcW w:w="1405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</w:r>
          </w:p>
        </w:tc>
      </w:tr>
    </w:tbl>
    <w:p>
      <w:pPr>
        <w:pStyle w:val="Normal"/>
        <w:spacing w:lineRule="exact" w:line="275"/>
        <w:jc w:val="center"/>
        <w:rPr>
          <w:b/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</w:r>
    </w:p>
    <w:p>
      <w:pPr>
        <w:pStyle w:val="Normal"/>
        <w:rPr>
          <w:b/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/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color w:val="000000"/>
          <w:sz w:val="28"/>
          <w:szCs w:val="28"/>
        </w:rPr>
        <w:t xml:space="preserve">Расшифровка направления расходов «Расходы на оплату труда работников, связанных с реализацией проекта»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Таблица 1. Расчет расходов на оплату труда работников, связанных с реализацией проекта</w:t>
      </w:r>
    </w:p>
    <w:tbl>
      <w:tblPr>
        <w:tblStyle w:val="a3"/>
        <w:tblW w:w="9634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59"/>
        <w:gridCol w:w="1344"/>
        <w:gridCol w:w="2769"/>
        <w:gridCol w:w="2693"/>
        <w:gridCol w:w="2269"/>
      </w:tblGrid>
      <w:tr>
        <w:trPr>
          <w:trHeight w:val="902" w:hRule="atLeast"/>
        </w:trPr>
        <w:tc>
          <w:tcPr>
            <w:tcW w:w="559" w:type="dxa"/>
            <w:tcBorders/>
            <w:shd w:fill="auto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</w:rPr>
              <w:t xml:space="preserve">№ </w:t>
            </w:r>
            <w:r>
              <w:rPr>
                <w:rFonts w:cs="Times New Roman" w:ascii="Times New Roman" w:hAnsi="Times New Roman"/>
                <w:bCs/>
                <w:sz w:val="24"/>
                <w:szCs w:val="24"/>
              </w:rPr>
              <w:t xml:space="preserve">п/п </w:t>
            </w:r>
          </w:p>
        </w:tc>
        <w:tc>
          <w:tcPr>
            <w:tcW w:w="1344" w:type="dxa"/>
            <w:tcBorders/>
            <w:shd w:fill="auto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</w:rPr>
              <w:t>Период (месяц, год)</w:t>
            </w:r>
          </w:p>
        </w:tc>
        <w:tc>
          <w:tcPr>
            <w:tcW w:w="2769" w:type="dxa"/>
            <w:tcBorders/>
            <w:shd w:fill="auto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</w:rPr>
              <w:t xml:space="preserve">Заработная плата в месяц, руб., в т.ч. НДФЛ </w:t>
            </w:r>
          </w:p>
        </w:tc>
        <w:tc>
          <w:tcPr>
            <w:tcW w:w="2693" w:type="dxa"/>
            <w:tcBorders/>
            <w:shd w:fill="auto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</w:rPr>
              <w:t>За счет средств гранта, руб.</w:t>
            </w:r>
          </w:p>
        </w:tc>
        <w:tc>
          <w:tcPr>
            <w:tcW w:w="2269" w:type="dxa"/>
            <w:tcBorders/>
            <w:shd w:fill="auto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</w:rPr>
              <w:t>За счет средств софинансирования, руб.</w:t>
            </w:r>
          </w:p>
        </w:tc>
      </w:tr>
      <w:tr>
        <w:trPr/>
        <w:tc>
          <w:tcPr>
            <w:tcW w:w="559" w:type="dxa"/>
            <w:tcBorders/>
            <w:shd w:fill="auto" w:val="clear"/>
          </w:tcPr>
          <w:p>
            <w:pPr>
              <w:pStyle w:val="Normal"/>
              <w:spacing w:lineRule="auto" w:line="360"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344" w:type="dxa"/>
            <w:tcBorders/>
            <w:shd w:fill="auto" w:val="clear"/>
          </w:tcPr>
          <w:p>
            <w:pPr>
              <w:pStyle w:val="Normal"/>
              <w:spacing w:lineRule="auto" w:line="360" w:before="0" w:after="160"/>
              <w:jc w:val="center"/>
              <w:rPr>
                <w:rFonts w:ascii="Times New Roman" w:hAnsi="Times New Roman" w:cs="Times New Roman"/>
                <w:i/>
                <w:i/>
                <w:i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i/>
                <w:iCs/>
                <w:sz w:val="24"/>
                <w:szCs w:val="24"/>
              </w:rPr>
              <w:t>1.11.22-1.10.23</w:t>
            </w:r>
          </w:p>
        </w:tc>
        <w:tc>
          <w:tcPr>
            <w:tcW w:w="2769" w:type="dxa"/>
            <w:tcBorders/>
            <w:shd w:fill="auto" w:val="clear"/>
          </w:tcPr>
          <w:p>
            <w:pPr>
              <w:pStyle w:val="Normal"/>
              <w:spacing w:lineRule="auto" w:line="360" w:before="0" w:after="16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827 583</w:t>
            </w:r>
          </w:p>
        </w:tc>
        <w:tc>
          <w:tcPr>
            <w:tcW w:w="2693" w:type="dxa"/>
            <w:tcBorders/>
            <w:shd w:fill="auto" w:val="clear"/>
          </w:tcPr>
          <w:p>
            <w:pPr>
              <w:pStyle w:val="Normal"/>
              <w:spacing w:lineRule="auto" w:line="360"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827 583</w:t>
            </w:r>
          </w:p>
        </w:tc>
        <w:tc>
          <w:tcPr>
            <w:tcW w:w="2269" w:type="dxa"/>
            <w:tcBorders/>
            <w:shd w:fill="auto" w:val="clear"/>
          </w:tcPr>
          <w:p>
            <w:pPr>
              <w:pStyle w:val="Normal"/>
              <w:spacing w:lineRule="auto" w:line="360"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0</w:t>
            </w:r>
          </w:p>
        </w:tc>
      </w:tr>
      <w:tr>
        <w:trPr>
          <w:trHeight w:val="289" w:hRule="atLeast"/>
        </w:trPr>
        <w:tc>
          <w:tcPr>
            <w:tcW w:w="559" w:type="dxa"/>
            <w:tcBorders/>
            <w:shd w:fill="auto" w:val="clear"/>
          </w:tcPr>
          <w:p>
            <w:pPr>
              <w:pStyle w:val="Normal"/>
              <w:spacing w:lineRule="auto" w:line="360"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344" w:type="dxa"/>
            <w:tcBorders/>
            <w:shd w:fill="auto" w:val="clear"/>
          </w:tcPr>
          <w:p>
            <w:pPr>
              <w:pStyle w:val="Normal"/>
              <w:spacing w:lineRule="auto" w:line="360" w:before="0" w:after="16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</w:rPr>
              <w:t>Итого</w:t>
            </w:r>
          </w:p>
        </w:tc>
        <w:tc>
          <w:tcPr>
            <w:tcW w:w="2769" w:type="dxa"/>
            <w:tcBorders/>
            <w:shd w:fill="auto" w:val="clear"/>
          </w:tcPr>
          <w:p>
            <w:pPr>
              <w:pStyle w:val="Normal"/>
              <w:spacing w:lineRule="auto" w:line="360"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827 583</w:t>
            </w:r>
          </w:p>
        </w:tc>
        <w:tc>
          <w:tcPr>
            <w:tcW w:w="2693" w:type="dxa"/>
            <w:tcBorders/>
            <w:shd w:fill="auto" w:val="clear"/>
          </w:tcPr>
          <w:p>
            <w:pPr>
              <w:pStyle w:val="Normal"/>
              <w:spacing w:lineRule="auto" w:line="360"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827 583</w:t>
            </w:r>
          </w:p>
        </w:tc>
        <w:tc>
          <w:tcPr>
            <w:tcW w:w="2269" w:type="dxa"/>
            <w:tcBorders/>
            <w:shd w:fill="auto" w:val="clear"/>
          </w:tcPr>
          <w:p>
            <w:pPr>
              <w:pStyle w:val="Normal"/>
              <w:spacing w:lineRule="auto" w:line="360"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0</w:t>
            </w:r>
          </w:p>
        </w:tc>
      </w:tr>
    </w:tbl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/>
          <w:b/>
          <w:color w:val="000000"/>
          <w:sz w:val="24"/>
          <w:szCs w:val="24"/>
        </w:rPr>
      </w:pPr>
      <w:r>
        <w:rPr>
          <w:rFonts w:cs="Times New Roman" w:ascii="Times New Roman" w:hAnsi="Times New Roman"/>
          <w:b/>
          <w:color w:val="000000"/>
          <w:sz w:val="24"/>
          <w:szCs w:val="24"/>
        </w:rPr>
      </w:r>
    </w:p>
    <w:p>
      <w:pPr>
        <w:pStyle w:val="Normal"/>
        <w:spacing w:lineRule="exact" w:line="275" w:before="120" w:after="16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Таблица 2. Расчет расходов на оплату обязательных страховых платежей</w:t>
      </w:r>
    </w:p>
    <w:tbl>
      <w:tblPr>
        <w:tblStyle w:val="a3"/>
        <w:tblW w:w="9627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837"/>
        <w:gridCol w:w="2693"/>
        <w:gridCol w:w="1277"/>
        <w:gridCol w:w="1576"/>
        <w:gridCol w:w="2244"/>
      </w:tblGrid>
      <w:tr>
        <w:trPr/>
        <w:tc>
          <w:tcPr>
            <w:tcW w:w="1837" w:type="dxa"/>
            <w:vMerge w:val="restart"/>
            <w:tcBorders/>
            <w:shd w:fill="auto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</w:rPr>
              <w:t>Наименование взноса*</w:t>
            </w:r>
          </w:p>
        </w:tc>
        <w:tc>
          <w:tcPr>
            <w:tcW w:w="2693" w:type="dxa"/>
            <w:vMerge w:val="restart"/>
            <w:tcBorders/>
            <w:shd w:fill="auto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</w:rPr>
              <w:t xml:space="preserve">Общая сумма расходов, руб. </w:t>
            </w:r>
          </w:p>
        </w:tc>
        <w:tc>
          <w:tcPr>
            <w:tcW w:w="2853" w:type="dxa"/>
            <w:gridSpan w:val="2"/>
            <w:tcBorders/>
            <w:shd w:fill="auto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</w:rPr>
              <w:t>В том числе:</w:t>
            </w:r>
          </w:p>
        </w:tc>
        <w:tc>
          <w:tcPr>
            <w:tcW w:w="2244" w:type="dxa"/>
            <w:vMerge w:val="restart"/>
            <w:tcBorders/>
            <w:shd w:fill="auto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</w:rPr>
              <w:t xml:space="preserve">Комментарии </w:t>
            </w:r>
            <w:r>
              <w:rPr>
                <w:rFonts w:cs="Times New Roman" w:ascii="Times New Roman" w:hAnsi="Times New Roman"/>
                <w:bCs/>
                <w:sz w:val="24"/>
                <w:szCs w:val="24"/>
                <w:vertAlign w:val="superscript"/>
              </w:rPr>
              <w:t>**</w:t>
            </w:r>
          </w:p>
        </w:tc>
      </w:tr>
      <w:tr>
        <w:trPr/>
        <w:tc>
          <w:tcPr>
            <w:tcW w:w="1837" w:type="dxa"/>
            <w:vMerge w:val="continue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</w:rPr>
            </w:r>
          </w:p>
        </w:tc>
        <w:tc>
          <w:tcPr>
            <w:tcW w:w="2693" w:type="dxa"/>
            <w:vMerge w:val="continue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</w:rPr>
            </w:r>
          </w:p>
        </w:tc>
        <w:tc>
          <w:tcPr>
            <w:tcW w:w="1277" w:type="dxa"/>
            <w:tcBorders/>
            <w:shd w:fill="auto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</w:rPr>
              <w:t>За счет средств гранта, руб.</w:t>
            </w:r>
          </w:p>
        </w:tc>
        <w:tc>
          <w:tcPr>
            <w:tcW w:w="1576" w:type="dxa"/>
            <w:tcBorders/>
            <w:shd w:fill="auto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</w:rPr>
              <w:t>За счет средств софинансирования, руб.</w:t>
            </w:r>
          </w:p>
        </w:tc>
        <w:tc>
          <w:tcPr>
            <w:tcW w:w="2244" w:type="dxa"/>
            <w:vMerge w:val="continue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</w:rPr>
            </w:r>
          </w:p>
        </w:tc>
      </w:tr>
      <w:tr>
        <w:trPr/>
        <w:tc>
          <w:tcPr>
            <w:tcW w:w="1837" w:type="dxa"/>
            <w:tcBorders/>
            <w:shd w:fill="auto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2693" w:type="dxa"/>
            <w:tcBorders/>
            <w:shd w:fill="auto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1277" w:type="dxa"/>
            <w:tcBorders/>
            <w:shd w:fill="auto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</w:rPr>
              <w:t>3</w:t>
            </w:r>
          </w:p>
        </w:tc>
        <w:tc>
          <w:tcPr>
            <w:tcW w:w="1576" w:type="dxa"/>
            <w:tcBorders/>
            <w:shd w:fill="auto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</w:rPr>
              <w:t>4</w:t>
            </w:r>
          </w:p>
        </w:tc>
        <w:tc>
          <w:tcPr>
            <w:tcW w:w="2244" w:type="dxa"/>
            <w:tcBorders/>
            <w:shd w:fill="auto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</w:rPr>
              <w:t>5</w:t>
            </w:r>
          </w:p>
        </w:tc>
      </w:tr>
      <w:tr>
        <w:trPr/>
        <w:tc>
          <w:tcPr>
            <w:tcW w:w="1837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</w:rPr>
              <w:t>Сумма страховых взносов на пенсионное страхование</w:t>
            </w:r>
          </w:p>
        </w:tc>
        <w:tc>
          <w:tcPr>
            <w:tcW w:w="2693" w:type="dxa"/>
            <w:tcBorders/>
            <w:shd w:fill="auto" w:val="clear"/>
          </w:tcPr>
          <w:p>
            <w:pPr>
              <w:pStyle w:val="Normal"/>
              <w:rPr>
                <w:rFonts w:ascii="Times New Roman" w:hAnsi="Times New Roman" w:cs="Times New Roman"/>
                <w:i/>
                <w:i/>
                <w:i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i/>
                <w:iCs/>
                <w:sz w:val="24"/>
                <w:szCs w:val="24"/>
              </w:rPr>
              <w:t>182 066</w:t>
            </w:r>
          </w:p>
          <w:p>
            <w:pPr>
              <w:pStyle w:val="Normal"/>
              <w:spacing w:before="0" w:after="160"/>
              <w:rPr>
                <w:rFonts w:ascii="Times New Roman" w:hAnsi="Times New Roman" w:cs="Times New Roman"/>
                <w:i/>
                <w:i/>
                <w:i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i/>
                <w:iCs/>
                <w:sz w:val="24"/>
                <w:szCs w:val="24"/>
              </w:rPr>
              <w:t>Указывается абсолютный показатель за весь период, вычисляется следующим образом: данные строки «Итого» в таблице 1 умножить на тариф, применяемый для начисления страховых взносов по оплате труда штатных работников в организации</w:t>
            </w:r>
          </w:p>
        </w:tc>
        <w:tc>
          <w:tcPr>
            <w:tcW w:w="1277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182 066</w:t>
            </w:r>
          </w:p>
        </w:tc>
        <w:tc>
          <w:tcPr>
            <w:tcW w:w="1576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2244" w:type="dxa"/>
            <w:tcBorders/>
            <w:shd w:fill="auto" w:val="clear"/>
          </w:tcPr>
          <w:p>
            <w:pPr>
              <w:pStyle w:val="Normal"/>
              <w:rPr>
                <w:rFonts w:ascii="Times New Roman" w:hAnsi="Times New Roman" w:cs="Times New Roman"/>
                <w:i/>
                <w:i/>
                <w:i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i/>
                <w:iCs/>
                <w:sz w:val="24"/>
                <w:szCs w:val="24"/>
              </w:rPr>
              <w:t>22%</w:t>
            </w:r>
          </w:p>
          <w:p>
            <w:pPr>
              <w:pStyle w:val="Normal"/>
              <w:spacing w:before="0" w:after="160"/>
              <w:rPr>
                <w:rFonts w:ascii="Times New Roman" w:hAnsi="Times New Roman" w:cs="Times New Roman"/>
                <w:i/>
                <w:i/>
                <w:i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i/>
                <w:iCs/>
                <w:sz w:val="24"/>
                <w:szCs w:val="24"/>
              </w:rPr>
              <w:t>Следует указать ставку (ставки), применяемую (применяемые) в организации для начисления страховых взносов по оплате труда штатных работников (в т.ч. указываются ставки, применяемые после достижения регресса)</w:t>
            </w:r>
          </w:p>
        </w:tc>
      </w:tr>
      <w:tr>
        <w:trPr/>
        <w:tc>
          <w:tcPr>
            <w:tcW w:w="1837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</w:rPr>
              <w:t>Сумма страховых взносов на обязательное медицинское страхование</w:t>
            </w:r>
          </w:p>
        </w:tc>
        <w:tc>
          <w:tcPr>
            <w:tcW w:w="2693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i/>
                <w:i/>
                <w:i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i/>
                <w:iCs/>
                <w:sz w:val="24"/>
                <w:szCs w:val="24"/>
              </w:rPr>
              <w:t>42 203</w:t>
            </w:r>
          </w:p>
        </w:tc>
        <w:tc>
          <w:tcPr>
            <w:tcW w:w="1277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szCs w:val="22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42 203</w:t>
            </w:r>
          </w:p>
        </w:tc>
        <w:tc>
          <w:tcPr>
            <w:tcW w:w="1576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2244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i/>
                <w:i/>
                <w:i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i/>
                <w:iCs/>
                <w:sz w:val="24"/>
                <w:szCs w:val="24"/>
              </w:rPr>
              <w:t>5.1%</w:t>
            </w:r>
          </w:p>
        </w:tc>
      </w:tr>
      <w:tr>
        <w:trPr/>
        <w:tc>
          <w:tcPr>
            <w:tcW w:w="1837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</w:rPr>
              <w:t>Сумма страховых взносов на обязательное социальное страхование</w:t>
            </w:r>
          </w:p>
        </w:tc>
        <w:tc>
          <w:tcPr>
            <w:tcW w:w="2693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i/>
                <w:i/>
                <w:i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i/>
                <w:iCs/>
                <w:sz w:val="24"/>
                <w:szCs w:val="24"/>
              </w:rPr>
              <w:t>23 996</w:t>
            </w:r>
          </w:p>
        </w:tc>
        <w:tc>
          <w:tcPr>
            <w:tcW w:w="1277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23 996</w:t>
            </w:r>
          </w:p>
        </w:tc>
        <w:tc>
          <w:tcPr>
            <w:tcW w:w="1576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2244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i/>
                <w:i/>
                <w:i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i/>
                <w:iCs/>
                <w:sz w:val="24"/>
                <w:szCs w:val="24"/>
              </w:rPr>
              <w:t>2.9%</w:t>
            </w:r>
          </w:p>
        </w:tc>
      </w:tr>
      <w:tr>
        <w:trPr/>
        <w:tc>
          <w:tcPr>
            <w:tcW w:w="1837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</w:rPr>
              <w:t>Сумма страховых взносов на страхование от несчастных случаев на производстве и профзаболеваний</w:t>
            </w:r>
          </w:p>
        </w:tc>
        <w:tc>
          <w:tcPr>
            <w:tcW w:w="2693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i/>
                <w:i/>
                <w:i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i/>
                <w:iCs/>
                <w:sz w:val="24"/>
                <w:szCs w:val="24"/>
              </w:rPr>
              <w:t>1 652</w:t>
            </w:r>
          </w:p>
        </w:tc>
        <w:tc>
          <w:tcPr>
            <w:tcW w:w="1277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1 652</w:t>
            </w:r>
          </w:p>
        </w:tc>
        <w:tc>
          <w:tcPr>
            <w:tcW w:w="1576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2244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i/>
                <w:i/>
                <w:i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i/>
                <w:iCs/>
                <w:sz w:val="24"/>
                <w:szCs w:val="24"/>
              </w:rPr>
              <w:t>0.2%</w:t>
            </w:r>
          </w:p>
        </w:tc>
      </w:tr>
      <w:tr>
        <w:trPr/>
        <w:tc>
          <w:tcPr>
            <w:tcW w:w="1837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</w:rPr>
              <w:t>Итого</w:t>
            </w:r>
          </w:p>
        </w:tc>
        <w:tc>
          <w:tcPr>
            <w:tcW w:w="2693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77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76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2244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30.2%</w:t>
            </w:r>
            <w:bookmarkStart w:id="0" w:name="_Hlk116467389"/>
            <w:bookmarkEnd w:id="0"/>
          </w:p>
        </w:tc>
      </w:tr>
    </w:tbl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pacing w:val="53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* Указывается вид </w:t>
      </w:r>
      <w:r>
        <w:rPr>
          <w:rFonts w:cs="Times New Roman" w:ascii="Times New Roman" w:hAnsi="Times New Roman"/>
          <w:sz w:val="24"/>
          <w:szCs w:val="24"/>
        </w:rPr>
        <w:t>страхового взноса с выплат штатным работникам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**Для  расчета  сметы  применяются</w:t>
      </w:r>
      <w:r>
        <w:rPr>
          <w:rFonts w:cs="Times New Roman" w:ascii="Times New Roman" w:hAnsi="Times New Roman"/>
          <w:color w:val="000000"/>
          <w:spacing w:val="38"/>
          <w:sz w:val="24"/>
          <w:szCs w:val="24"/>
        </w:rPr>
        <w:t xml:space="preserve"> </w:t>
      </w:r>
      <w:r>
        <w:rPr>
          <w:rFonts w:cs="Times New Roman" w:ascii="Times New Roman" w:hAnsi="Times New Roman"/>
          <w:color w:val="000000"/>
          <w:spacing w:val="2"/>
          <w:sz w:val="24"/>
          <w:szCs w:val="24"/>
        </w:rPr>
        <w:t>предельные  базы  регресса,  действующие  на</w:t>
      </w:r>
      <w:r>
        <w:rPr>
          <w:rFonts w:cs="Times New Roman" w:ascii="Times New Roman" w:hAnsi="Times New Roman"/>
          <w:color w:val="000000"/>
          <w:spacing w:val="39"/>
          <w:sz w:val="24"/>
          <w:szCs w:val="24"/>
        </w:rPr>
        <w:t xml:space="preserve"> </w:t>
      </w:r>
      <w:r>
        <w:rPr>
          <w:rFonts w:cs="Times New Roman" w:ascii="Times New Roman" w:hAnsi="Times New Roman"/>
          <w:color w:val="000000"/>
          <w:sz w:val="24"/>
          <w:szCs w:val="24"/>
        </w:rPr>
        <w:t xml:space="preserve">момент  подачи  заявки.  Для  выплат </w:t>
      </w: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  <w:t>страховых взносов в ходе реализации проекта применяются действующие предельные базы на текущий год.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Normal"/>
        <w:spacing w:lineRule="exact" w:line="275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Таблица 3. Расшифровка ролей в проекте и функционала работников, связанных с реализацией проекта</w:t>
      </w:r>
    </w:p>
    <w:tbl>
      <w:tblPr>
        <w:tblStyle w:val="a3"/>
        <w:tblW w:w="9616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32"/>
        <w:gridCol w:w="3138"/>
        <w:gridCol w:w="1880"/>
        <w:gridCol w:w="1893"/>
        <w:gridCol w:w="1873"/>
      </w:tblGrid>
      <w:tr>
        <w:trPr/>
        <w:tc>
          <w:tcPr>
            <w:tcW w:w="832" w:type="dxa"/>
            <w:tcBorders/>
            <w:shd w:fill="auto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</w:rPr>
              <w:t xml:space="preserve">№ </w:t>
            </w:r>
            <w:r>
              <w:rPr>
                <w:rFonts w:cs="Times New Roman" w:ascii="Times New Roman" w:hAnsi="Times New Roman"/>
                <w:bCs/>
                <w:sz w:val="24"/>
                <w:szCs w:val="24"/>
              </w:rPr>
              <w:t>п/п</w:t>
            </w:r>
          </w:p>
        </w:tc>
        <w:tc>
          <w:tcPr>
            <w:tcW w:w="3138" w:type="dxa"/>
            <w:tcBorders/>
            <w:shd w:fill="auto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</w:rPr>
              <w:t>Роль в проекте</w:t>
            </w:r>
          </w:p>
        </w:tc>
        <w:tc>
          <w:tcPr>
            <w:tcW w:w="1880" w:type="dxa"/>
            <w:tcBorders/>
            <w:shd w:fill="auto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</w:rPr>
              <w:t xml:space="preserve">Функционал * </w:t>
            </w:r>
          </w:p>
        </w:tc>
        <w:tc>
          <w:tcPr>
            <w:tcW w:w="1893" w:type="dxa"/>
            <w:tcBorders/>
            <w:shd w:fill="auto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</w:rPr>
              <w:t>Номера мероприятий календарного плана</w:t>
            </w:r>
          </w:p>
        </w:tc>
        <w:tc>
          <w:tcPr>
            <w:tcW w:w="1873" w:type="dxa"/>
            <w:tcBorders/>
            <w:shd w:fill="auto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</w:rPr>
              <w:t>Количество рабочих часов**</w:t>
            </w:r>
          </w:p>
        </w:tc>
      </w:tr>
      <w:tr>
        <w:trPr/>
        <w:tc>
          <w:tcPr>
            <w:tcW w:w="832" w:type="dxa"/>
            <w:tcBorders/>
            <w:shd w:fill="auto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138" w:type="dxa"/>
            <w:tcBorders/>
            <w:shd w:fill="auto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Архитектор проекта</w:t>
            </w:r>
          </w:p>
        </w:tc>
        <w:tc>
          <w:tcPr>
            <w:tcW w:w="1880" w:type="dxa"/>
            <w:tcBorders/>
            <w:shd w:fill="auto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Архитектор проекта</w:t>
            </w:r>
          </w:p>
        </w:tc>
        <w:tc>
          <w:tcPr>
            <w:tcW w:w="1893" w:type="dxa"/>
            <w:tcBorders/>
            <w:shd w:fill="auto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1,2</w:t>
            </w:r>
          </w:p>
        </w:tc>
        <w:tc>
          <w:tcPr>
            <w:tcW w:w="1873" w:type="dxa"/>
            <w:tcBorders/>
            <w:shd w:fill="auto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2 079</w:t>
            </w:r>
          </w:p>
        </w:tc>
      </w:tr>
      <w:tr>
        <w:trPr/>
        <w:tc>
          <w:tcPr>
            <w:tcW w:w="832" w:type="dxa"/>
            <w:tcBorders/>
            <w:shd w:fill="auto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3138" w:type="dxa"/>
            <w:tcBorders/>
            <w:shd w:fill="auto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Frontend-разработчик</w:t>
            </w:r>
          </w:p>
        </w:tc>
        <w:tc>
          <w:tcPr>
            <w:tcW w:w="1880" w:type="dxa"/>
            <w:tcBorders/>
            <w:shd w:fill="auto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Frontend-разработчик</w:t>
            </w:r>
          </w:p>
        </w:tc>
        <w:tc>
          <w:tcPr>
            <w:tcW w:w="1893" w:type="dxa"/>
            <w:tcBorders/>
            <w:shd w:fill="auto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1,2</w:t>
            </w:r>
          </w:p>
        </w:tc>
        <w:tc>
          <w:tcPr>
            <w:tcW w:w="1873" w:type="dxa"/>
            <w:tcBorders/>
            <w:shd w:fill="auto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2 079</w:t>
            </w:r>
          </w:p>
        </w:tc>
      </w:tr>
      <w:tr>
        <w:trPr/>
        <w:tc>
          <w:tcPr>
            <w:tcW w:w="832" w:type="dxa"/>
            <w:tcBorders/>
            <w:shd w:fill="auto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3138" w:type="dxa"/>
            <w:tcBorders/>
            <w:shd w:fill="auto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СТО (Тех. директор)</w:t>
            </w:r>
          </w:p>
        </w:tc>
        <w:tc>
          <w:tcPr>
            <w:tcW w:w="1880" w:type="dxa"/>
            <w:tcBorders/>
            <w:shd w:fill="auto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СТО (Тех. директор)</w:t>
            </w:r>
          </w:p>
        </w:tc>
        <w:tc>
          <w:tcPr>
            <w:tcW w:w="1893" w:type="dxa"/>
            <w:tcBorders/>
            <w:shd w:fill="auto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1,2</w:t>
            </w:r>
          </w:p>
        </w:tc>
        <w:tc>
          <w:tcPr>
            <w:tcW w:w="1873" w:type="dxa"/>
            <w:tcBorders/>
            <w:shd w:fill="auto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2 079</w:t>
            </w:r>
          </w:p>
        </w:tc>
      </w:tr>
      <w:tr>
        <w:trPr/>
        <w:tc>
          <w:tcPr>
            <w:tcW w:w="832" w:type="dxa"/>
            <w:tcBorders/>
            <w:shd w:fill="auto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138" w:type="dxa"/>
            <w:tcBorders/>
            <w:shd w:fill="auto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Дизайнер, ux/ui</w:t>
            </w:r>
          </w:p>
        </w:tc>
        <w:tc>
          <w:tcPr>
            <w:tcW w:w="1880" w:type="dxa"/>
            <w:tcBorders/>
            <w:shd w:fill="auto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Дизайнер, ux/ui</w:t>
            </w:r>
          </w:p>
        </w:tc>
        <w:tc>
          <w:tcPr>
            <w:tcW w:w="1893" w:type="dxa"/>
            <w:tcBorders/>
            <w:shd w:fill="auto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1,2</w:t>
            </w:r>
          </w:p>
        </w:tc>
        <w:tc>
          <w:tcPr>
            <w:tcW w:w="1873" w:type="dxa"/>
            <w:tcBorders/>
            <w:shd w:fill="auto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2 079</w:t>
            </w:r>
          </w:p>
        </w:tc>
      </w:tr>
      <w:tr>
        <w:trPr/>
        <w:tc>
          <w:tcPr>
            <w:tcW w:w="832" w:type="dxa"/>
            <w:tcBorders/>
            <w:shd w:fill="auto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3138" w:type="dxa"/>
            <w:tcBorders/>
            <w:shd w:fill="auto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Дизайнер, тестировщик</w:t>
            </w:r>
          </w:p>
        </w:tc>
        <w:tc>
          <w:tcPr>
            <w:tcW w:w="1880" w:type="dxa"/>
            <w:tcBorders/>
            <w:shd w:fill="auto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Дизайнер, тестировщик</w:t>
            </w:r>
          </w:p>
        </w:tc>
        <w:tc>
          <w:tcPr>
            <w:tcW w:w="1893" w:type="dxa"/>
            <w:tcBorders/>
            <w:shd w:fill="auto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1,2</w:t>
            </w:r>
          </w:p>
        </w:tc>
        <w:tc>
          <w:tcPr>
            <w:tcW w:w="1873" w:type="dxa"/>
            <w:tcBorders/>
            <w:shd w:fill="auto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2 079</w:t>
            </w:r>
          </w:p>
        </w:tc>
      </w:tr>
      <w:tr>
        <w:trPr/>
        <w:tc>
          <w:tcPr>
            <w:tcW w:w="832" w:type="dxa"/>
            <w:tcBorders/>
            <w:shd w:fill="auto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Итого</w:t>
            </w:r>
          </w:p>
        </w:tc>
        <w:tc>
          <w:tcPr>
            <w:tcW w:w="3138" w:type="dxa"/>
            <w:tcBorders/>
            <w:shd w:fill="auto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880" w:type="dxa"/>
            <w:tcBorders/>
            <w:shd w:fill="auto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893" w:type="dxa"/>
            <w:tcBorders/>
            <w:shd w:fill="auto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873" w:type="dxa"/>
            <w:tcBorders/>
            <w:shd w:fill="auto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*указываются выполняемые функции в рамках конкретных мероприятий календарного плана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1"/>
          <w:sz w:val="24"/>
          <w:szCs w:val="24"/>
        </w:rPr>
        <w:t xml:space="preserve">**общее количество рабочих часов должно быть равно заявленным часам по выполнению работ </w:t>
      </w:r>
      <w:r>
        <w:rPr>
          <w:rFonts w:cs="Times New Roman" w:ascii="Times New Roman" w:hAnsi="Times New Roman"/>
          <w:color w:val="000000"/>
          <w:sz w:val="24"/>
          <w:szCs w:val="24"/>
        </w:rPr>
        <w:t>в календарном плане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/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color w:val="000000"/>
          <w:sz w:val="28"/>
          <w:szCs w:val="28"/>
        </w:rPr>
        <w:t>Расшифровка направления расходов «Накладные расходы»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tbl>
      <w:tblPr>
        <w:tblStyle w:val="a3"/>
        <w:tblW w:w="9475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32"/>
        <w:gridCol w:w="3034"/>
        <w:gridCol w:w="1870"/>
        <w:gridCol w:w="1869"/>
        <w:gridCol w:w="1870"/>
      </w:tblGrid>
      <w:tr>
        <w:trPr/>
        <w:tc>
          <w:tcPr>
            <w:tcW w:w="832" w:type="dxa"/>
            <w:tcBorders/>
            <w:shd w:fill="auto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№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п/п</w:t>
            </w:r>
          </w:p>
        </w:tc>
        <w:tc>
          <w:tcPr>
            <w:tcW w:w="3034" w:type="dxa"/>
            <w:tcBorders/>
            <w:shd w:fill="auto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Наименование расхода</w:t>
            </w:r>
          </w:p>
        </w:tc>
        <w:tc>
          <w:tcPr>
            <w:tcW w:w="1870" w:type="dxa"/>
            <w:tcBorders/>
            <w:shd w:fill="auto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Единица измерения</w:t>
            </w:r>
          </w:p>
        </w:tc>
        <w:tc>
          <w:tcPr>
            <w:tcW w:w="1869" w:type="dxa"/>
            <w:tcBorders/>
            <w:shd w:fill="auto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Количество</w:t>
            </w:r>
          </w:p>
        </w:tc>
        <w:tc>
          <w:tcPr>
            <w:tcW w:w="1870" w:type="dxa"/>
            <w:tcBorders/>
            <w:shd w:fill="auto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Сумма</w:t>
            </w:r>
          </w:p>
        </w:tc>
      </w:tr>
      <w:tr>
        <w:trPr/>
        <w:tc>
          <w:tcPr>
            <w:tcW w:w="832" w:type="dxa"/>
            <w:tcBorders/>
            <w:shd w:fill="auto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034" w:type="dxa"/>
            <w:tcBorders/>
            <w:shd w:fill="auto" w:val="clear"/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870" w:type="dxa"/>
            <w:tcBorders/>
            <w:shd w:fill="auto" w:val="clear"/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869" w:type="dxa"/>
            <w:tcBorders/>
            <w:shd w:fill="auto" w:val="clear"/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870" w:type="dxa"/>
            <w:tcBorders/>
            <w:shd w:fill="auto" w:val="clear"/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832" w:type="dxa"/>
            <w:tcBorders/>
            <w:shd w:fill="auto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3034" w:type="dxa"/>
            <w:tcBorders/>
            <w:shd w:fill="auto" w:val="clear"/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870" w:type="dxa"/>
            <w:tcBorders/>
            <w:shd w:fill="auto" w:val="clear"/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869" w:type="dxa"/>
            <w:tcBorders/>
            <w:shd w:fill="auto" w:val="clear"/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870" w:type="dxa"/>
            <w:tcBorders/>
            <w:shd w:fill="auto" w:val="clear"/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832" w:type="dxa"/>
            <w:tcBorders/>
            <w:shd w:fill="auto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3034" w:type="dxa"/>
            <w:tcBorders/>
            <w:shd w:fill="auto" w:val="clear"/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870" w:type="dxa"/>
            <w:tcBorders/>
            <w:shd w:fill="auto" w:val="clear"/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869" w:type="dxa"/>
            <w:tcBorders/>
            <w:shd w:fill="auto" w:val="clear"/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870" w:type="dxa"/>
            <w:tcBorders/>
            <w:shd w:fill="auto" w:val="clear"/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832" w:type="dxa"/>
            <w:tcBorders/>
            <w:shd w:fill="auto" w:val="clear"/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Итого</w:t>
            </w:r>
          </w:p>
        </w:tc>
        <w:tc>
          <w:tcPr>
            <w:tcW w:w="3034" w:type="dxa"/>
            <w:tcBorders/>
            <w:shd w:fill="auto" w:val="clear"/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870" w:type="dxa"/>
            <w:tcBorders/>
            <w:shd w:fill="auto" w:val="clear"/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869" w:type="dxa"/>
            <w:tcBorders/>
            <w:shd w:fill="auto" w:val="clear"/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870" w:type="dxa"/>
            <w:tcBorders/>
            <w:shd w:fill="auto" w:val="clear"/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tabs>
          <w:tab w:val="clear" w:pos="708"/>
          <w:tab w:val="left" w:pos="426" w:leader="none"/>
          <w:tab w:val="left" w:pos="1985" w:leader="none"/>
        </w:tabs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/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color w:val="000000"/>
          <w:sz w:val="28"/>
          <w:szCs w:val="28"/>
        </w:rPr>
        <w:t>Расшифровка направления расходов «Расходы на оплату работ (услуг) сторонних организаций, непосредственно привлекаемых</w:t>
      </w:r>
      <w:r>
        <w:rPr>
          <w:rFonts w:cs="Times New Roman" w:ascii="Times New Roman" w:hAnsi="Times New Roman"/>
          <w:b/>
          <w:color w:val="000000"/>
          <w:spacing w:val="-1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color w:val="000000"/>
          <w:sz w:val="28"/>
          <w:szCs w:val="28"/>
        </w:rPr>
        <w:t>к реализации проекта»</w:t>
      </w:r>
    </w:p>
    <w:p>
      <w:pPr>
        <w:pStyle w:val="Normal"/>
        <w:tabs>
          <w:tab w:val="clear" w:pos="708"/>
          <w:tab w:val="left" w:pos="426" w:leader="none"/>
          <w:tab w:val="left" w:pos="1985" w:leader="none"/>
        </w:tabs>
        <w:spacing w:lineRule="auto" w:line="240" w:before="0" w:after="0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tbl>
      <w:tblPr>
        <w:tblStyle w:val="a3"/>
        <w:tblW w:w="9455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88"/>
        <w:gridCol w:w="3683"/>
        <w:gridCol w:w="2336"/>
        <w:gridCol w:w="2447"/>
      </w:tblGrid>
      <w:tr>
        <w:trPr/>
        <w:tc>
          <w:tcPr>
            <w:tcW w:w="988" w:type="dxa"/>
            <w:tcBorders/>
            <w:shd w:fill="auto" w:val="clear"/>
          </w:tcPr>
          <w:p>
            <w:pPr>
              <w:pStyle w:val="Normal"/>
              <w:tabs>
                <w:tab w:val="clear" w:pos="708"/>
                <w:tab w:val="left" w:pos="426" w:leader="none"/>
                <w:tab w:val="left" w:pos="1985" w:leader="none"/>
              </w:tabs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№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п/п</w:t>
            </w:r>
          </w:p>
        </w:tc>
        <w:tc>
          <w:tcPr>
            <w:tcW w:w="3683" w:type="dxa"/>
            <w:tcBorders/>
            <w:shd w:fill="auto" w:val="clear"/>
          </w:tcPr>
          <w:p>
            <w:pPr>
              <w:pStyle w:val="Normal"/>
              <w:tabs>
                <w:tab w:val="clear" w:pos="708"/>
                <w:tab w:val="left" w:pos="426" w:leader="none"/>
                <w:tab w:val="left" w:pos="1985" w:leader="none"/>
              </w:tabs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Наименование работ (услуг)*</w:t>
            </w:r>
          </w:p>
        </w:tc>
        <w:tc>
          <w:tcPr>
            <w:tcW w:w="2336" w:type="dxa"/>
            <w:tcBorders/>
            <w:shd w:fill="auto" w:val="clear"/>
          </w:tcPr>
          <w:p>
            <w:pPr>
              <w:pStyle w:val="Normal"/>
              <w:tabs>
                <w:tab w:val="clear" w:pos="708"/>
                <w:tab w:val="left" w:pos="426" w:leader="none"/>
                <w:tab w:val="left" w:pos="1985" w:leader="none"/>
              </w:tabs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Стоимость работ (услуг)</w:t>
            </w:r>
          </w:p>
        </w:tc>
        <w:tc>
          <w:tcPr>
            <w:tcW w:w="2447" w:type="dxa"/>
            <w:tcBorders/>
            <w:shd w:fill="auto" w:val="clea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</w:rPr>
              <w:t>Комментарий (ссылки на публичные ресурсы, реквизиты и данные коммерческих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</w:rPr>
              <w:t>предложений, иные документы,</w:t>
            </w:r>
          </w:p>
          <w:p>
            <w:pPr>
              <w:pStyle w:val="Normal"/>
              <w:tabs>
                <w:tab w:val="clear" w:pos="708"/>
                <w:tab w:val="left" w:pos="426" w:leader="none"/>
                <w:tab w:val="left" w:pos="1985" w:leader="none"/>
              </w:tabs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</w:rPr>
              <w:t>обосновывающие стоимость)</w:t>
            </w:r>
          </w:p>
        </w:tc>
      </w:tr>
      <w:tr>
        <w:trPr/>
        <w:tc>
          <w:tcPr>
            <w:tcW w:w="988" w:type="dxa"/>
            <w:tcBorders/>
            <w:shd w:fill="auto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683" w:type="dxa"/>
            <w:tcBorders/>
            <w:shd w:fill="auto" w:val="clear"/>
          </w:tcPr>
          <w:p>
            <w:pPr>
              <w:pStyle w:val="Normal"/>
              <w:tabs>
                <w:tab w:val="clear" w:pos="708"/>
                <w:tab w:val="left" w:pos="426" w:leader="none"/>
                <w:tab w:val="left" w:pos="1985" w:leader="none"/>
              </w:tabs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Проведение работ по сбору информации медицинского характера, опросы целевой аудитории, консалтинг, сбор данных потребителей услуг.</w:t>
            </w:r>
          </w:p>
        </w:tc>
        <w:tc>
          <w:tcPr>
            <w:tcW w:w="2336" w:type="dxa"/>
            <w:tcBorders/>
            <w:shd w:fill="auto" w:val="clear"/>
          </w:tcPr>
          <w:p>
            <w:pPr>
              <w:pStyle w:val="Normal"/>
              <w:tabs>
                <w:tab w:val="clear" w:pos="708"/>
                <w:tab w:val="left" w:pos="426" w:leader="none"/>
                <w:tab w:val="left" w:pos="1985" w:leader="none"/>
              </w:tabs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4 300 000</w:t>
            </w:r>
          </w:p>
        </w:tc>
        <w:tc>
          <w:tcPr>
            <w:tcW w:w="2447" w:type="dxa"/>
            <w:tcBorders/>
            <w:shd w:fill="auto" w:val="clear"/>
          </w:tcPr>
          <w:p>
            <w:pPr>
              <w:pStyle w:val="Normal"/>
              <w:tabs>
                <w:tab w:val="clear" w:pos="708"/>
                <w:tab w:val="left" w:pos="426" w:leader="none"/>
                <w:tab w:val="left" w:pos="1985" w:leader="none"/>
              </w:tabs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Cs w:val="22"/>
              </w:rPr>
              <w:t>Банковские реквизиты: р/с 40702810314100022866 в ОАО АКБ «АВАНГАРД» к/с 30101810000000000201 БИК 044525201</w:t>
            </w:r>
          </w:p>
        </w:tc>
      </w:tr>
      <w:tr>
        <w:trPr/>
        <w:tc>
          <w:tcPr>
            <w:tcW w:w="988" w:type="dxa"/>
            <w:tcBorders/>
            <w:shd w:fill="auto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3683" w:type="dxa"/>
            <w:tcBorders/>
            <w:shd w:fill="auto" w:val="clear"/>
          </w:tcPr>
          <w:p>
            <w:pPr>
              <w:pStyle w:val="Normal"/>
              <w:tabs>
                <w:tab w:val="clear" w:pos="708"/>
                <w:tab w:val="left" w:pos="426" w:leader="none"/>
                <w:tab w:val="left" w:pos="1985" w:leader="none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Доработка функционала личных кабинетов пользователей с ОВЗ</w:t>
            </w:r>
          </w:p>
          <w:p>
            <w:pPr>
              <w:pStyle w:val="Normal"/>
              <w:tabs>
                <w:tab w:val="clear" w:pos="708"/>
                <w:tab w:val="left" w:pos="426" w:leader="none"/>
                <w:tab w:val="left" w:pos="1985" w:leader="none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Доработка биржи вакансий</w:t>
            </w:r>
          </w:p>
          <w:p>
            <w:pPr>
              <w:pStyle w:val="Normal"/>
              <w:tabs>
                <w:tab w:val="clear" w:pos="708"/>
                <w:tab w:val="left" w:pos="426" w:leader="none"/>
                <w:tab w:val="left" w:pos="1985" w:leader="none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Разработка функционала помощи на местности</w:t>
            </w:r>
          </w:p>
          <w:p>
            <w:pPr>
              <w:pStyle w:val="Normal"/>
              <w:tabs>
                <w:tab w:val="clear" w:pos="708"/>
                <w:tab w:val="left" w:pos="426" w:leader="none"/>
                <w:tab w:val="left" w:pos="1985" w:leader="none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Р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аботы по распознаванию голоса и трансляции</w:t>
            </w:r>
          </w:p>
          <w:p>
            <w:pPr>
              <w:pStyle w:val="Normal"/>
              <w:tabs>
                <w:tab w:val="clear" w:pos="708"/>
                <w:tab w:val="left" w:pos="426" w:leader="none"/>
                <w:tab w:val="left" w:pos="1985" w:leader="none"/>
              </w:tabs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Разработка интеграций со сторонними партнёрами в области экстренной помощи</w:t>
            </w:r>
          </w:p>
        </w:tc>
        <w:tc>
          <w:tcPr>
            <w:tcW w:w="2336" w:type="dxa"/>
            <w:tcBorders/>
            <w:shd w:fill="auto" w:val="clear"/>
          </w:tcPr>
          <w:p>
            <w:pPr>
              <w:pStyle w:val="Normal"/>
              <w:tabs>
                <w:tab w:val="clear" w:pos="708"/>
                <w:tab w:val="left" w:pos="426" w:leader="none"/>
                <w:tab w:val="left" w:pos="1985" w:leader="none"/>
              </w:tabs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4 700 000</w:t>
            </w:r>
          </w:p>
        </w:tc>
        <w:tc>
          <w:tcPr>
            <w:tcW w:w="2447" w:type="dxa"/>
            <w:tcBorders/>
            <w:shd w:fill="auto" w:val="clear"/>
          </w:tcPr>
          <w:p>
            <w:pPr>
              <w:pStyle w:val="Normal"/>
              <w:rPr/>
            </w:pPr>
            <w:r>
              <w:rPr>
                <w:b/>
                <w:bCs/>
                <w:szCs w:val="24"/>
              </w:rPr>
              <w:t>ООО «ОРЕАДА»</w:t>
            </w:r>
          </w:p>
          <w:p>
            <w:pPr>
              <w:pStyle w:val="Normal"/>
              <w:rPr/>
            </w:pPr>
            <w:r>
              <w:rPr>
                <w:szCs w:val="24"/>
              </w:rPr>
              <w:t>Юридический адрес:</w:t>
              <w:br/>
              <w:t>603009, РОССИЯ, Нижегородская обл., г. Нижний Новгород, ул. Арсеньева д. 4, кв. 38</w:t>
            </w:r>
          </w:p>
          <w:p>
            <w:pPr>
              <w:pStyle w:val="Normal"/>
              <w:rPr/>
            </w:pPr>
            <w:r>
              <w:rPr>
                <w:szCs w:val="24"/>
              </w:rPr>
              <w:t>ИНН 5261131529</w:t>
              <w:br/>
              <w:t>КП</w:t>
            </w:r>
            <w:r>
              <w:rPr>
                <w:szCs w:val="24"/>
              </w:rPr>
              <w:t>П</w:t>
            </w:r>
            <w:r>
              <w:rPr>
                <w:szCs w:val="24"/>
              </w:rPr>
              <w:t xml:space="preserve"> 526101001</w:t>
            </w:r>
          </w:p>
          <w:p>
            <w:pPr>
              <w:pStyle w:val="Normal"/>
              <w:rPr/>
            </w:pPr>
            <w:r>
              <w:rPr>
                <w:szCs w:val="24"/>
              </w:rPr>
              <w:t>Расч. Счет</w:t>
              <w:br/>
              <w:t>40702810310000985219</w:t>
            </w:r>
          </w:p>
          <w:p>
            <w:pPr>
              <w:pStyle w:val="Normal"/>
              <w:rPr/>
            </w:pPr>
            <w:r>
              <w:rPr>
                <w:szCs w:val="24"/>
              </w:rPr>
              <w:t xml:space="preserve">Банк  </w:t>
              <w:tab/>
              <w:t>АО «ТИНЬКОФФ БАНК»</w:t>
            </w:r>
          </w:p>
          <w:p>
            <w:pPr>
              <w:pStyle w:val="Normal"/>
              <w:spacing w:before="0" w:after="160"/>
              <w:rPr/>
            </w:pPr>
            <w:r>
              <w:rPr>
                <w:szCs w:val="24"/>
              </w:rPr>
              <w:t>Кор.счет</w:t>
              <w:br/>
              <w:t>30101810145250000974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БИК  </w:t>
              <w:tab/>
              <w:t>044525974</w:t>
            </w:r>
          </w:p>
        </w:tc>
      </w:tr>
      <w:tr>
        <w:trPr/>
        <w:tc>
          <w:tcPr>
            <w:tcW w:w="988" w:type="dxa"/>
            <w:tcBorders/>
            <w:shd w:fill="auto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Итого</w:t>
            </w:r>
          </w:p>
        </w:tc>
        <w:tc>
          <w:tcPr>
            <w:tcW w:w="3683" w:type="dxa"/>
            <w:tcBorders/>
            <w:shd w:fill="auto" w:val="clear"/>
          </w:tcPr>
          <w:p>
            <w:pPr>
              <w:pStyle w:val="Normal"/>
              <w:tabs>
                <w:tab w:val="clear" w:pos="708"/>
                <w:tab w:val="left" w:pos="426" w:leader="none"/>
                <w:tab w:val="left" w:pos="1985" w:leader="none"/>
              </w:tabs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336" w:type="dxa"/>
            <w:tcBorders/>
            <w:shd w:fill="auto" w:val="clear"/>
          </w:tcPr>
          <w:p>
            <w:pPr>
              <w:pStyle w:val="Normal"/>
              <w:tabs>
                <w:tab w:val="clear" w:pos="708"/>
                <w:tab w:val="left" w:pos="426" w:leader="none"/>
                <w:tab w:val="left" w:pos="1985" w:leader="none"/>
              </w:tabs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7000</w:t>
            </w:r>
          </w:p>
        </w:tc>
        <w:tc>
          <w:tcPr>
            <w:tcW w:w="2447" w:type="dxa"/>
            <w:tcBorders/>
            <w:shd w:fill="auto" w:val="clear"/>
          </w:tcPr>
          <w:p>
            <w:pPr>
              <w:pStyle w:val="Normal"/>
              <w:tabs>
                <w:tab w:val="clear" w:pos="708"/>
                <w:tab w:val="left" w:pos="426" w:leader="none"/>
                <w:tab w:val="left" w:pos="1985" w:leader="none"/>
              </w:tabs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"/>
        <w:tabs>
          <w:tab w:val="clear" w:pos="708"/>
          <w:tab w:val="left" w:pos="426" w:leader="none"/>
          <w:tab w:val="left" w:pos="1985" w:leader="none"/>
        </w:tabs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*Приводится спецификация состава работ (услуг) по каждой статье расходов на оплату работ (услуг) сторонних организаций с каждым контрагентом. Указывается стоимость по каждой позиции спецификации работ (услуг) с разбиением по этапам проекта.</w:t>
      </w:r>
    </w:p>
    <w:p>
      <w:pPr>
        <w:pStyle w:val="Normal"/>
        <w:tabs>
          <w:tab w:val="clear" w:pos="708"/>
          <w:tab w:val="left" w:pos="426" w:leader="none"/>
          <w:tab w:val="left" w:pos="1985" w:leader="none"/>
        </w:tabs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Расшифровка направления расходов «Расходы на приобретение нефинансовых активов» </w:t>
      </w:r>
    </w:p>
    <w:tbl>
      <w:tblPr>
        <w:tblStyle w:val="a3"/>
        <w:tblW w:w="9018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45"/>
        <w:gridCol w:w="1984"/>
        <w:gridCol w:w="1261"/>
        <w:gridCol w:w="867"/>
        <w:gridCol w:w="1345"/>
        <w:gridCol w:w="2715"/>
      </w:tblGrid>
      <w:tr>
        <w:trPr>
          <w:trHeight w:val="4140" w:hRule="atLeast"/>
        </w:trPr>
        <w:tc>
          <w:tcPr>
            <w:tcW w:w="845" w:type="dxa"/>
            <w:tcBorders/>
            <w:shd w:fill="auto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№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п/п</w:t>
            </w:r>
          </w:p>
        </w:tc>
        <w:tc>
          <w:tcPr>
            <w:tcW w:w="1984" w:type="dxa"/>
            <w:tcBorders/>
            <w:shd w:fill="auto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Наименовнаие нефинансового актива </w:t>
            </w:r>
            <w:r>
              <w:rPr>
                <w:rFonts w:cs="Times New Roman" w:ascii="Times New Roman" w:hAnsi="Times New Roman"/>
                <w:sz w:val="24"/>
                <w:szCs w:val="24"/>
                <w:vertAlign w:val="superscript"/>
              </w:rPr>
              <w:t>*</w:t>
            </w:r>
          </w:p>
        </w:tc>
        <w:tc>
          <w:tcPr>
            <w:tcW w:w="1261" w:type="dxa"/>
            <w:tcBorders/>
            <w:shd w:fill="auto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Цена за ед. руб</w:t>
            </w:r>
          </w:p>
        </w:tc>
        <w:tc>
          <w:tcPr>
            <w:tcW w:w="867" w:type="dxa"/>
            <w:tcBorders/>
            <w:shd w:fill="auto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Кол-во ед.</w:t>
            </w:r>
          </w:p>
        </w:tc>
        <w:tc>
          <w:tcPr>
            <w:tcW w:w="1345" w:type="dxa"/>
            <w:tcBorders/>
            <w:shd w:fill="auto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Общая стоимость руб.</w:t>
            </w:r>
          </w:p>
        </w:tc>
        <w:tc>
          <w:tcPr>
            <w:tcW w:w="2715" w:type="dxa"/>
            <w:tcBorders/>
            <w:shd w:fill="auto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Комментарий (указать отечественное или зарубежное производство приобретаемого актива, в случае приобретения зарубежного, обосновать выбор; ссылки на публичные ресурсы, реквизиты и данные коммерческих предложений, иные документы, обосновывающие стоимость) </w:t>
            </w:r>
            <w:r>
              <w:rPr>
                <w:rFonts w:cs="Times New Roman" w:ascii="Times New Roman" w:hAnsi="Times New Roman"/>
                <w:sz w:val="24"/>
                <w:szCs w:val="24"/>
                <w:vertAlign w:val="superscript"/>
              </w:rPr>
              <w:t>**</w:t>
            </w:r>
          </w:p>
        </w:tc>
      </w:tr>
      <w:tr>
        <w:trPr/>
        <w:tc>
          <w:tcPr>
            <w:tcW w:w="845" w:type="dxa"/>
            <w:tcBorders/>
            <w:shd w:fill="auto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984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61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7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345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715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845" w:type="dxa"/>
            <w:tcBorders/>
            <w:shd w:fill="auto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984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61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7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345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715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845" w:type="dxa"/>
            <w:tcBorders/>
            <w:shd w:fill="auto" w:val="clea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1984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61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7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345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715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845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</w:rPr>
              <w:t>Итого</w:t>
            </w:r>
          </w:p>
        </w:tc>
        <w:tc>
          <w:tcPr>
            <w:tcW w:w="1984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261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7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345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715" w:type="dxa"/>
            <w:tcBorders/>
            <w:shd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  <w:vertAlign w:val="superscript"/>
        </w:rPr>
        <w:t>*</w:t>
      </w:r>
      <w:r>
        <w:rPr>
          <w:rFonts w:cs="Times New Roman" w:ascii="Times New Roman" w:hAnsi="Times New Roman"/>
          <w:color w:val="000000"/>
          <w:sz w:val="24"/>
          <w:szCs w:val="24"/>
        </w:rPr>
        <w:t>Приводится спецификация по каждому приобретаемому нефинансовому активу с разбиением по этапам проекта. Указывается информация о конкретной марке, модели и количестве приобретаемых единиц по каждой позиции. Если на момент подготовки сметы конкретные наименования продукции (марки, модели) не определены, указываются основные характеристики/требования.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В  данной  статье  допустимо  включение  только расходов  по  приобретаемым  Лицензиям  на  ПО,  ПАК  и  оборудование  (в  т.ч. инфраструктура), непосредственно связанных с реализацией проекта.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  <w:vertAlign w:val="superscript"/>
        </w:rPr>
        <w:t>**</w:t>
      </w:r>
      <w:r>
        <w:rPr>
          <w:rFonts w:cs="Times New Roman" w:ascii="Times New Roman" w:hAnsi="Times New Roman"/>
          <w:color w:val="000000"/>
          <w:sz w:val="24"/>
          <w:szCs w:val="24"/>
        </w:rPr>
        <w:t>Приобретаемый нефинансовый актив отечественного производства должен быть включен в один из реестров (Единый реестр российских  программ  для электронных  вычислительных  машин  и  баз данных,  Единый  реестр  российской  радиоэлектронной продукции). Отсутствие НФА в соответствующем реестре подтверждает отсутствие отечественного аналога на рынке.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ConsPlus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____________________________________________    ________________</w:t>
      </w:r>
    </w:p>
    <w:p>
      <w:pPr>
        <w:pStyle w:val="ConsPlusNormal"/>
        <w:spacing w:lineRule="auto" w:line="360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(ФИО, должность руководителя организации/ФИО индивидуального предпринимателя)         (подпись, печать (при наличии))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134" w:right="1134" w:header="720" w:top="1134" w:footer="720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4"/>
        <w:lang w:val="ru-RU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a6499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ucida Sans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1"/>
    <w:qFormat/>
    <w:rsid w:val="00aa6499"/>
    <w:pPr>
      <w:spacing w:before="0" w:after="160"/>
      <w:ind w:left="720" w:hanging="0"/>
      <w:contextualSpacing/>
    </w:pPr>
    <w:rPr/>
  </w:style>
  <w:style w:type="paragraph" w:styleId="ConsPlusNormal" w:customStyle="1">
    <w:name w:val="ConsPlusNormal"/>
    <w:qFormat/>
    <w:rsid w:val="00aa6499"/>
    <w:pPr>
      <w:widowControl w:val="false"/>
      <w:bidi w:val="0"/>
      <w:jc w:val="left"/>
    </w:pPr>
    <w:rPr>
      <w:rFonts w:ascii="Calibri" w:hAnsi="Calibri" w:eastAsia="Times New Roman" w:cs="Calibri" w:asciiTheme="minorHAnsi" w:hAnsiTheme="minorHAnsi"/>
      <w:color w:val="auto"/>
      <w:kern w:val="0"/>
      <w:sz w:val="22"/>
      <w:szCs w:val="20"/>
      <w:lang w:eastAsia="ru-RU" w:val="ru-RU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aa6499"/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Application>LibreOffice/6.2.0.3$Windows_X86_64 LibreOffice_project/98c6a8a1c6c7b144ce3cc729e34964b47ce25d62</Application>
  <Pages>7</Pages>
  <Words>972</Words>
  <Characters>6062</Characters>
  <CharactersWithSpaces>6937</CharactersWithSpaces>
  <Paragraphs>198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2022-10-12T09:24:00Z</dcterms:created>
  <dc:creator>Microsoft Office User</dc:creator>
  <dc:description/>
  <dc:language>ru-RU</dc:language>
  <cp:lastModifiedBy/>
  <dcterms:modified xsi:type="dcterms:W3CDTF">2022-10-12T16:44:47Z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