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jc w:val="center"/>
      </w:pPr>
      <w:r>
        <w:rPr>
          <w:b/>
          <w:sz w:val="32"/>
        </w:rPr>
        <w:t>Coachingshandleiding – Jouw Dartstraining</w:t>
      </w:r>
    </w:p>
    <w:p>
      <w:pPr>
        <w:pStyle w:val="Heading2"/>
      </w:pPr>
      <w:r>
        <w:t>1. Doel van dit formulier</w:t>
      </w:r>
    </w:p>
    <w:p>
      <w:r>
        <w:t>Het coachformulier helpt trainers om gericht te observeren, constructieve feedback te geven en de groei van darters meetbaar te maken. Het sluit aan bij de zes kernprincipes van DartsCoaching.nl: Rust – Ritme – Richting – Herhaling – Reflectie – Groei.</w:t>
      </w:r>
    </w:p>
    <w:p>
      <w:pPr>
        <w:pStyle w:val="Heading2"/>
      </w:pPr>
      <w:r>
        <w:t>2. Wanneer gebruik je het formulier</w:t>
      </w:r>
    </w:p>
    <w:p>
      <w:r>
        <w:t>• Tijdens de cursus (Dag 1–4): Na iedere trainingsdag kort invullen onder 'Observaties per dag'.</w:t>
      </w:r>
    </w:p>
    <w:p>
      <w:r>
        <w:t>• Na afloop van de cursus: Vul de eindbeoordeling in, bespreek de scores samen met de speler, en noteer concrete vervolgdoelen.</w:t>
      </w:r>
    </w:p>
    <w:p>
      <w:r>
        <w:t>• Bij vervolgsessies: Gebruik het formulier om terug te kijken op progressie en patronen in gedrag, focus en techniek.</w:t>
      </w:r>
    </w:p>
    <w:p>
      <w:pPr>
        <w:pStyle w:val="Heading2"/>
      </w:pPr>
      <w:r>
        <w:t>3. Hoe vul je het in</w:t>
      </w:r>
    </w:p>
    <w:p>
      <w:r>
        <w:t>A. Observaties per dag</w:t>
      </w:r>
    </w:p>
    <w:p>
      <w:r>
        <w:t>Schrijf per dag één tot drie observaties van houding, gedrag, focus of werproutine. Let niet alleen op prestaties (scores), maar vooral op mentale rust, concentratie en leerhouding.</w:t>
      </w:r>
    </w:p>
    <w:p>
      <w:r>
        <w:t>B. Coachnotities</w:t>
      </w:r>
    </w:p>
    <w:p>
      <w:r>
        <w:t>Gebruik korte zinnen: wat ging goed, wat kan beter, en wat wil je dat de speler meeneemt naar morgen.</w:t>
      </w:r>
    </w:p>
    <w:p>
      <w:r>
        <w:t>C. Scores (1–10)</w:t>
      </w:r>
    </w:p>
    <w:tbl>
      <w:tblPr>
        <w:tblW w:type="auto" w:w="0"/>
        <w:tblLook w:firstColumn="1" w:firstRow="1" w:lastColumn="0" w:lastRow="0" w:noHBand="0" w:noVBand="1" w:val="04A0"/>
      </w:tblPr>
      <w:tblGrid>
        <w:gridCol w:w="4320"/>
        <w:gridCol w:w="4320"/>
      </w:tblGrid>
      <w:tr>
        <w:tc>
          <w:tcPr>
            <w:tcW w:type="dxa" w:w="4320"/>
          </w:tcPr>
          <w:p>
            <w:r>
              <w:t>Score</w:t>
            </w:r>
          </w:p>
        </w:tc>
        <w:tc>
          <w:tcPr>
            <w:tcW w:type="dxa" w:w="4320"/>
          </w:tcPr>
          <w:p>
            <w:r>
              <w:t>Betekenis</w:t>
            </w:r>
          </w:p>
        </w:tc>
      </w:tr>
      <w:tr>
        <w:tc>
          <w:tcPr>
            <w:tcW w:type="dxa" w:w="4320"/>
          </w:tcPr>
          <w:p>
            <w:r>
              <w:t>1–3</w:t>
            </w:r>
          </w:p>
        </w:tc>
        <w:tc>
          <w:tcPr>
            <w:tcW w:type="dxa" w:w="4320"/>
          </w:tcPr>
          <w:p>
            <w:r>
              <w:t>Onstabiel, weinig focus</w:t>
            </w:r>
          </w:p>
        </w:tc>
      </w:tr>
      <w:tr>
        <w:tc>
          <w:tcPr>
            <w:tcW w:type="dxa" w:w="4320"/>
          </w:tcPr>
          <w:p>
            <w:r>
              <w:t>4–6</w:t>
            </w:r>
          </w:p>
        </w:tc>
        <w:tc>
          <w:tcPr>
            <w:tcW w:type="dxa" w:w="4320"/>
          </w:tcPr>
          <w:p>
            <w:r>
              <w:t>Redelijke basis, nog wisselend</w:t>
            </w:r>
          </w:p>
        </w:tc>
      </w:tr>
      <w:tr>
        <w:tc>
          <w:tcPr>
            <w:tcW w:type="dxa" w:w="4320"/>
          </w:tcPr>
          <w:p>
            <w:r>
              <w:t>7–8</w:t>
            </w:r>
          </w:p>
        </w:tc>
        <w:tc>
          <w:tcPr>
            <w:tcW w:type="dxa" w:w="4320"/>
          </w:tcPr>
          <w:p>
            <w:r>
              <w:t>Constante focus en inzet</w:t>
            </w:r>
          </w:p>
        </w:tc>
      </w:tr>
      <w:tr>
        <w:tc>
          <w:tcPr>
            <w:tcW w:type="dxa" w:w="4320"/>
          </w:tcPr>
          <w:p>
            <w:r>
              <w:t>9–10</w:t>
            </w:r>
          </w:p>
        </w:tc>
        <w:tc>
          <w:tcPr>
            <w:tcW w:type="dxa" w:w="4320"/>
          </w:tcPr>
          <w:p>
            <w:r>
              <w:t>Uitmuntend en voorbeeldig gedrag / uitvoering</w:t>
            </w:r>
          </w:p>
        </w:tc>
      </w:tr>
    </w:tbl>
    <w:p>
      <w:r>
        <w:t>D. Eindbeoordeling</w:t>
      </w:r>
    </w:p>
    <w:p>
      <w:r>
        <w:t>Gebruik dit als gespreksstarter, niet als rapport. Laat de speler eerst zijn eigen zelfscore invullen en vergelijk die met jouw beoordeling.</w:t>
      </w:r>
    </w:p>
    <w:p>
      <w:pPr>
        <w:pStyle w:val="Heading2"/>
      </w:pPr>
      <w:r>
        <w:t>4. Feedbacktips voor coaches</w:t>
      </w:r>
    </w:p>
    <w:p>
      <w:r>
        <w:t>• Observeer meer dan je corrigeert. Schrijf eerst wat je ziet, pas daarna wat je vindt.</w:t>
      </w:r>
    </w:p>
    <w:p>
      <w:r>
        <w:t>• Gebruik positieve formuleringen: 'Je rustmomenten waren sterk vandaag' in plaats van 'Je was te snel klaar'.</w:t>
      </w:r>
    </w:p>
    <w:p>
      <w:r>
        <w:t>• Koppel feedback aan gedrag, niet aan persoon. ('Je nam te weinig tijd voor de set-up,' niet 'Je was gehaast.')</w:t>
      </w:r>
    </w:p>
    <w:p>
      <w:r>
        <w:t>• Sluit af met een compliment én een concreet doel.</w:t>
      </w:r>
    </w:p>
    <w:p>
      <w:pPr>
        <w:pStyle w:val="Heading2"/>
      </w:pPr>
      <w:r>
        <w:t>5. Veelvoorkomende coachingsvragen</w:t>
      </w:r>
    </w:p>
    <w:p>
      <w:r>
        <w:t>• Wat gebeurt er met je ademhaling als je spanning voelt?</w:t>
      </w:r>
    </w:p>
    <w:p>
      <w:r>
        <w:t>• Wanneer voel je dat je in je ritme zit?</w:t>
      </w:r>
    </w:p>
    <w:p>
      <w:r>
        <w:t>• Hoe merk jij dat je gefocust bent?</w:t>
      </w:r>
    </w:p>
    <w:p>
      <w:r>
        <w:t>• Wat deed je anders toen de pijlen goed vielen?</w:t>
      </w:r>
    </w:p>
    <w:p>
      <w:pPr>
        <w:pStyle w:val="Heading2"/>
      </w:pPr>
      <w:r>
        <w:t>6. Afronding en opvolging</w:t>
      </w:r>
    </w:p>
    <w:p>
      <w:r>
        <w:t>Gebruik de laatste pagina van het coachformulier om samen een nieuw trainingsdoel te formuleren. Maak concrete afspraken voor de volgende periode (trainingsfrequentie, focuspunten). Laat de speler zelf kort opschrijven wat hij meeneemt.</w:t>
      </w:r>
    </w:p>
    <w:p>
      <w:pPr>
        <w:pStyle w:val="Heading2"/>
      </w:pPr>
      <w:r>
        <w:t>7. Belangrijk: de rol van de coach</w:t>
      </w:r>
    </w:p>
    <w:p>
      <w:pPr>
        <w:jc w:val="center"/>
      </w:pPr>
      <w:r>
        <w:rPr>
          <w:i/>
        </w:rPr>
        <w:t>“Je bent geen commentator, maar een gids. Jij helpt de darter zijn rust te vinden zodat zijn richting vanzelf volgt.”</w:t>
      </w:r>
    </w:p>
    <w:p>
      <w:pPr>
        <w:jc w:val="right"/>
      </w:pPr>
      <w:r>
        <w:t>© DartsCoaching.nl 2024 – Coaching • Reflectie • Groei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