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DartBuddies → DartsCoaching.nl • Brugpagina Structuur (Divi-opbouw)</w:t>
      </w:r>
    </w:p>
    <w:p>
      <w:r>
        <w:t>Dit document bevat de uitgewerkte webstructuur van de brugpagina voor DartBuddies.nl, die in Divi gebouwd kan worden. De stijl volgt de visuele richtlijnen van DartsCoaching.nl: professioneel, vriendelijk en met de tagline ‘de brug tussen passie en prestatie’.</w:t>
      </w:r>
    </w:p>
    <w:p>
      <w:pPr>
        <w:pStyle w:val="Heading2"/>
      </w:pPr>
      <w:r>
        <w:t>🎯 Sectie 1 – Hero / Header</w:t>
      </w:r>
    </w:p>
    <w:p>
      <w:r>
        <w:t>• Volledige breedte, lichte achtergrond of hero-foto met darts-thema.</w:t>
      </w:r>
    </w:p>
    <w:p>
      <w:r>
        <w:t>• Modules: Afbeelding (logo’s), Tekst (H1), Subtekst, Knoppen (Ontdek / Lees meer).</w:t>
      </w:r>
    </w:p>
    <w:p>
      <w:pPr>
        <w:pStyle w:val="Heading2"/>
      </w:pPr>
      <w:r>
        <w:t>🧩 Sectie 2 – Waarom deze stap?</w:t>
      </w:r>
    </w:p>
    <w:p>
      <w:r>
        <w:t>• Witte achtergrond met uitleg over de fusie van DartBuddies en DartsCoaching.nl.</w:t>
      </w:r>
    </w:p>
    <w:p>
      <w:r>
        <w:t>• Bevat missiequote: ‘De brug bouwen tussen passie en prestatie.’</w:t>
      </w:r>
    </w:p>
    <w:p>
      <w:r>
        <w:t>• Afbeelding of illustratie van een brug tussen beide logo’s.</w:t>
      </w:r>
    </w:p>
    <w:p>
      <w:pPr>
        <w:pStyle w:val="Heading2"/>
      </w:pPr>
      <w:r>
        <w:t>⚙️ Sectie 3 – Wat betekent dit voor jou?</w:t>
      </w:r>
    </w:p>
    <w:p>
      <w:r>
        <w:t>• Lichte grijze achtergrond, 2 kolommen.</w:t>
      </w:r>
    </w:p>
    <w:p>
      <w:r>
        <w:t>• Links: tekst met vinkjes over wat verandert en wat niet.</w:t>
      </w:r>
    </w:p>
    <w:p>
      <w:r>
        <w:t>• Rechts: illustratie of foto met dartbord of training.</w:t>
      </w:r>
    </w:p>
    <w:p>
      <w:r>
        <w:t>• CTA: knop ‘Bezoek de nieuwe community’.</w:t>
      </w:r>
    </w:p>
    <w:p>
      <w:pPr>
        <w:pStyle w:val="Heading2"/>
      </w:pPr>
      <w:r>
        <w:t>📘 Sectie 4 – Voor kopers van het boek</w:t>
      </w:r>
    </w:p>
    <w:p>
      <w:r>
        <w:t>• Witte achtergrond, uitleg over overgang en loginlink naar Huddle.</w:t>
      </w:r>
    </w:p>
    <w:p>
      <w:r>
        <w:t>• CTA: knop ‘Ga naar je huidige account (Huddle)’.</w:t>
      </w:r>
    </w:p>
    <w:p>
      <w:pPr>
        <w:pStyle w:val="Heading2"/>
      </w:pPr>
      <w:r>
        <w:t>🚀 Sectie 5 – De volgende stap</w:t>
      </w:r>
    </w:p>
    <w:p>
      <w:r>
        <w:t>• Lichtgroene achtergrond met hoofd CTA naar DartsCoaching.nl.</w:t>
      </w:r>
    </w:p>
    <w:p>
      <w:r>
        <w:t>• Bevat lijst met voordelen, quote en knop.</w:t>
      </w:r>
    </w:p>
    <w:p>
      <w:pPr>
        <w:pStyle w:val="Heading2"/>
      </w:pPr>
      <w:r>
        <w:t>🖋️ Sectie 6 – Footer</w:t>
      </w:r>
    </w:p>
    <w:p>
      <w:r>
        <w:t>• Donkere achtergrond met persoonlijke afsluiting van Sander van Ockenburg.</w:t>
      </w:r>
    </w:p>
    <w:p>
      <w:r>
        <w:t>• Tagline: ‘De brug tussen passie en prestatie.’</w:t>
      </w:r>
    </w:p>
    <w:p>
      <w:r>
        <w:br w:type="page"/>
      </w:r>
    </w:p>
    <w:p>
      <w:pPr>
        <w:pStyle w:val="Heading1"/>
      </w:pPr>
      <w:r>
        <w:t>Visuele &amp; functionele richtlijnen</w:t>
      </w:r>
    </w:p>
    <w:p>
      <w:r>
        <w:t>Gebruik Divi-secties met voldoende witruimte, ronde hoeken en zachte schaduwen. Gebruik de DartsCoaching.nl kleurenpalet uit de Visuele Stijlgids 2025. Voeg subtiele animaties toe aan knoppen (bijv. slide-in). Gebruik de tagline in de footer om merkconsistentie te behouden.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