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rFonts w:ascii="Times New Roman" w:hAnsi="Times New Roman" w:eastAsia="Times New Roman"/>
          <w:b w:val="0"/>
          <w:i w:val="0"/>
        </w:rPr>
        <w:t>УДК 004.85:004.738.5</w:t>
      </w:r>
    </w:p>
    <w:p>
      <w:pPr>
        <w:pStyle w:val="Title"/>
        <w:ind w:firstLine="0"/>
        <w:jc w:val="center"/>
      </w:pPr>
      <w:r>
        <w:rPr>
          <w:rFonts w:ascii="Times New Roman" w:hAnsi="Times New Roman" w:eastAsia="Times New Roman"/>
          <w:b w:val="0"/>
          <w:i w:val="0"/>
        </w:rPr>
        <w:t>ИНТЕРПРЕТИРУЕМАЯ БИЗНЕС-АНАЛИТИКА РУССКОЯЗЫЧНЫХ ОТЗЫВОВ ЭЛЕКТРОННОЙ КОММЕРЦИИ НА ОСНОВЕ ГРАДИЕНТНОГО БУСТИНГА, SHAP И PDP</w:t>
      </w:r>
    </w:p>
    <w:p>
      <w:pPr>
        <w:ind w:firstLine="0"/>
        <w:jc w:val="center"/>
      </w:pPr>
      <w:r>
        <w:rPr>
          <w:rFonts w:ascii="Times New Roman" w:hAnsi="Times New Roman" w:eastAsia="Times New Roman"/>
          <w:b w:val="0"/>
          <w:i w:val="0"/>
        </w:rPr>
        <w:t>Малюгин Юрий Иванович</w:t>
      </w:r>
    </w:p>
    <w:p>
      <w:pPr>
        <w:ind w:firstLine="0"/>
        <w:jc w:val="center"/>
      </w:pPr>
      <w:r>
        <w:rPr>
          <w:rFonts w:ascii="Times New Roman" w:hAnsi="Times New Roman" w:eastAsia="Times New Roman"/>
          <w:b w:val="0"/>
          <w:i w:val="0"/>
        </w:rPr>
        <w:t>Новосибирский национальный исследовательский государственный университет, Новосибирск, Россия</w:t>
      </w:r>
    </w:p>
    <w:p>
      <w:pPr>
        <w:ind w:firstLine="0"/>
      </w:pPr>
      <w:r>
        <w:rPr>
          <w:rFonts w:ascii="Times New Roman" w:hAnsi="Times New Roman" w:eastAsia="Times New Roman"/>
          <w:b/>
          <w:i w:val="0"/>
        </w:rPr>
        <w:t>Аннотация.</w:t>
      </w:r>
    </w:p>
    <w:p>
      <w:r>
        <w:rPr>
          <w:rFonts w:ascii="Times New Roman" w:hAnsi="Times New Roman" w:eastAsia="Times New Roman"/>
          <w:b w:val="0"/>
          <w:i w:val="0"/>
        </w:rPr>
        <w:t>Работа посвящена интерпретируемому анализу тональности русскоязычных отзывов электронной коммерции. В отличие от постановки, где модель рассматривается только как классификатор, в статье анализ тональности используется как инструмент извлечения бизнес-сигналов о клиентском опыте. На подкорпусе RuReviews категории «женская одежда и аксессуары» построен воспроизводимый конвейер: очистка данных, стратифицированное разбиение, формирование гибридного признакового пространства, сравнение CatBoost, XGBoost и LightGBM, а также интерпретация лучшего решения с помощью feature importance, permutation importance, SHAP и PDP/ICE. Итоговый вектор содержит 433 признака: 83 ручных статистических и лексико-шаблонных признака, 200 компонент SVD для словесного TF-IDF и 150 компонент SVD для символьного TF-IDF. На тестовой выборке LightGBM достигла accuracy 0,7358, macro-F1 0,7378, ROC-AUC OvR 0,8925 и PR-AUC 0,8047. Отдельно показано, что разница между бустинговыми моделями невелика, поэтому выбор LightGBM обосновывается не только метрикой, но и удобством интерпретации и развертывания. Интерпретационные методы выделили устойчивые группы клиентских сигналов: несоответствие товара описанию, фотографии, цвету и размеру, качество ткани и швов, отрицательные конструкции, выражение «не рекомендую», доставка, спор и возврат денег. Полученные результаты показывают, что градиентный бустинг на интерпретируемых текстовых признаках может быть использован как практичный инструмент объяснимой бизнес-аналитики отзывов.</w:t>
      </w:r>
    </w:p>
    <w:p>
      <w:pPr>
        <w:ind w:firstLine="0"/>
      </w:pPr>
      <w:r>
        <w:rPr>
          <w:rFonts w:ascii="Times New Roman" w:hAnsi="Times New Roman" w:eastAsia="Times New Roman"/>
          <w:b w:val="0"/>
          <w:i w:val="0"/>
        </w:rPr>
        <w:t>Ключевые слова: анализ тональности, электронная коммерция, клиентский опыт, русскоязычные отзывы, градиентный бустинг, LightGBM, SHAP, PDP, интерпретируемое машинное обучение.</w:t>
      </w:r>
    </w:p>
    <w:p>
      <w:pPr>
        <w:pStyle w:val="Title"/>
        <w:ind w:firstLine="0"/>
        <w:jc w:val="center"/>
      </w:pPr>
      <w:r>
        <w:rPr>
          <w:rFonts w:ascii="Times New Roman" w:hAnsi="Times New Roman" w:eastAsia="Times New Roman"/>
          <w:b w:val="0"/>
          <w:i w:val="0"/>
        </w:rPr>
        <w:t>INTERPRETABLE BUSINESS ANALYTICS OF RUSSIAN E-COMMERCE REVIEWS BASED ON GRADIENT BOOSTING, SHAP AND PDP</w:t>
      </w:r>
    </w:p>
    <w:p>
      <w:pPr>
        <w:ind w:firstLine="0"/>
      </w:pPr>
      <w:r>
        <w:rPr>
          <w:rFonts w:ascii="Times New Roman" w:hAnsi="Times New Roman" w:eastAsia="Times New Roman"/>
          <w:b/>
          <w:i w:val="0"/>
        </w:rPr>
        <w:t>Abstract.</w:t>
      </w:r>
    </w:p>
    <w:p>
      <w:pPr>
        <w:ind w:firstLine="0"/>
      </w:pPr>
      <w:r>
        <w:rPr>
          <w:rFonts w:ascii="Times New Roman" w:hAnsi="Times New Roman" w:eastAsia="Times New Roman"/>
          <w:b w:val="0"/>
          <w:i w:val="0"/>
        </w:rPr>
        <w:t>The paper studies sentiment analysis of Russian e-commerce reviews not only as a multiclass text classification problem, but also as a source of interpretable business signals about customer experience. Using the RuReviews subset for women’s clothing and accessories, we build a reproducible pipeline that includes data cleaning, stratified splitting, hybrid feature construction, comparison of CatBoost, XGBoost and LightGBM, and interpretation of the best model with feature importance, permutation importance, SHAP and PDP/ICE. The final feature space contains 433 variables: 83 handcrafted statistical and lexical-pattern features, 200 SVD components of word-level TF-IDF and 150 SVD components of character-level TF-IDF. On the test set, LightGBM achieved accuracy of 0.7358, macro-F1 of 0.7378, ROC-AUC OvR of 0.8925 and PR-AUC of 0.8047. The difference between the boosting models was small; therefore, the final choice of LightGBM is justified not only by the metric values, but also by interpretability and deployment convenience. The interpretation stage reveals stable customer signals related to mismatch with product description, photo, color and size, fabric and sewing quality, negation patterns, the expression “not recommended”, delivery, disputes and refunds. The results demonstrate that gradient boosting combined with interpretable text features can serve as a practical tool for explainable business analytics of customer reviews.</w:t>
      </w:r>
    </w:p>
    <w:p>
      <w:pPr>
        <w:ind w:firstLine="0"/>
      </w:pPr>
      <w:r>
        <w:rPr>
          <w:rFonts w:ascii="Times New Roman" w:hAnsi="Times New Roman" w:eastAsia="Times New Roman"/>
          <w:b w:val="0"/>
          <w:i w:val="0"/>
        </w:rPr>
        <w:t>Keywords: sentiment analysis, e-commerce, customer experience, Russian reviews, gradient boosting, LightGBM, SHAP, PDP, interpretable machine learning.</w:t>
      </w:r>
    </w:p>
    <w:p>
      <w:pPr>
        <w:pStyle w:val="Heading1"/>
        <w:ind w:firstLine="0"/>
      </w:pPr>
      <w:r>
        <w:rPr>
          <w:rFonts w:ascii="Times New Roman" w:hAnsi="Times New Roman" w:eastAsia="Times New Roman"/>
          <w:b w:val="0"/>
          <w:i w:val="0"/>
        </w:rPr>
        <w:t>1. Введение</w:t>
      </w:r>
    </w:p>
    <w:p>
      <w:r>
        <w:rPr>
          <w:rFonts w:ascii="Times New Roman" w:hAnsi="Times New Roman" w:eastAsia="Times New Roman"/>
          <w:b w:val="0"/>
          <w:i w:val="0"/>
        </w:rPr>
        <w:t>Отзывы в электронной коммерции являются не только формой обратной связи, но и постоянным источником данных о реальном клиентском опыте: качестве товара, соответствии фотографии и описанию, работе доставки, упаковке, возвратах и готовности покупателя рекомендовать товар. Поэтому практическая ценность анализа тональности заключается не только в автоматическом присвоении метки negative, neutral или positive, но и в выявлении причин, по которым покупатель оценивает опыт положительно или отрицательно.</w:t>
      </w:r>
    </w:p>
    <w:p>
      <w:r>
        <w:rPr>
          <w:rFonts w:ascii="Times New Roman" w:hAnsi="Times New Roman" w:eastAsia="Times New Roman"/>
          <w:b w:val="0"/>
          <w:i w:val="0"/>
        </w:rPr>
        <w:t>В прикладных системах анализа отзывов часто достаточно высокой считается итоговая метрика классификации. Однако для управления товарной категорией и клиентским сервисом одной метки недостаточно. Если модель относит отзыв к отрицательному классу из-за сигналов «не соответствует описанию», «маломерит», «синтетика», «деньги не вернули» или «не рекомендую», то результат классификации превращается в объяснимый управленческий сигнал. Именно эта логика определяет постановку настоящей работы.</w:t>
      </w:r>
    </w:p>
    <w:p>
      <w:r>
        <w:rPr>
          <w:rFonts w:ascii="Times New Roman" w:hAnsi="Times New Roman" w:eastAsia="Times New Roman"/>
          <w:b w:val="0"/>
          <w:i w:val="0"/>
        </w:rPr>
        <w:t>Цель исследования — показать, что градиентный бустинг в сочетании с гибридными текстовыми признаками и методами интерпретации может применяться как инструмент бизнес-аналитики русскоязычных отзывов. Работа не предлагает новый алгоритм классификации. Ее вклад состоит в проверяемом прикладном конвейере, который связывает модельные признаки с содержательными категориями клиентского опыта и позволяет переходить от автоматической разметки отзывов к объяснимым выводам о проблемах товарной категории.</w:t>
      </w:r>
    </w:p>
    <w:p>
      <w:pPr>
        <w:pStyle w:val="Heading1"/>
        <w:ind w:firstLine="0"/>
      </w:pPr>
      <w:r>
        <w:rPr>
          <w:rFonts w:ascii="Times New Roman" w:hAnsi="Times New Roman" w:eastAsia="Times New Roman"/>
          <w:b w:val="0"/>
          <w:i w:val="0"/>
        </w:rPr>
        <w:t>2. Материалы и методы</w:t>
      </w:r>
    </w:p>
    <w:p>
      <w:pPr>
        <w:pStyle w:val="Heading2"/>
        <w:ind w:firstLine="0"/>
      </w:pPr>
      <w:r>
        <w:rPr>
          <w:rFonts w:ascii="Times New Roman" w:hAnsi="Times New Roman" w:eastAsia="Times New Roman"/>
          <w:b w:val="0"/>
          <w:i w:val="0"/>
        </w:rPr>
        <w:t>2.1. Данные и очистка корпуса</w:t>
      </w:r>
    </w:p>
    <w:p>
      <w:r>
        <w:rPr>
          <w:rFonts w:ascii="Times New Roman" w:hAnsi="Times New Roman" w:eastAsia="Times New Roman"/>
          <w:b w:val="0"/>
          <w:i w:val="0"/>
        </w:rPr>
        <w:t>Исходные данные опираются на датасет RuReviews, содержащий отзывы о товарах категории Women’s Clothes and Accessories. В открытой сбалансированной версии корпуса представлены три класса тональности: отрицательный, нейтральный и положительный. После удаления 2679 дубликатов и одного пустого текста итоговая выборка составила 87 320 отзывов. Разбиение выполнялось стратифицированно, что позволило сохранить близкий баланс классов во всех подвыборках.</w:t>
      </w:r>
    </w:p>
    <w:p>
      <w:pPr>
        <w:spacing w:before="60" w:after="120"/>
        <w:ind w:firstLine="0"/>
        <w:jc w:val="center"/>
      </w:pPr>
      <w:r>
        <w:rPr>
          <w:rFonts w:ascii="Times New Roman" w:hAnsi="Times New Roman" w:eastAsia="Times New Roman"/>
          <w:b w:val="0"/>
          <w:i/>
        </w:rPr>
        <w:t>Таблица 1 — Характеристики корпуса после локальной очистки</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Параметр</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Значение</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Исходный сбалансированный корпус</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90 000 отзывов</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Удалено дубликатов</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2 679</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Удалено пустых текстов</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1</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Итоговый объем</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87 320 отзывов</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Распределение классов после очистки</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29 218 / 28 812 / 29 290</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Train / validation / test</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61 158 / 13 064 / 13 098</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Средняя длина текста</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133,24 символа</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Среднее число слов</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20,50</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Максимальная длина текста</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1007 символов</w:t>
            </w:r>
          </w:p>
        </w:tc>
      </w:tr>
      <w:tr>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Рекомендуемая max_len</w:t>
            </w:r>
          </w:p>
        </w:tc>
        <w:tc>
          <w:tcPr>
            <w:tcW w:type="dxa" w:w="4986"/>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376</w:t>
            </w:r>
          </w:p>
        </w:tc>
      </w:tr>
    </w:tbl>
    <w:p>
      <w:pPr>
        <w:ind w:firstLine="0"/>
        <w:jc w:val="center"/>
      </w:pPr>
      <w:r>
        <w:rPr>
          <w:rFonts w:ascii="Times New Roman" w:hAnsi="Times New Roman" w:eastAsia="Times New Roman"/>
        </w:rPr>
        <w:drawing>
          <wp:inline xmlns:a="http://schemas.openxmlformats.org/drawingml/2006/main" xmlns:pic="http://schemas.openxmlformats.org/drawingml/2006/picture">
            <wp:extent cx="5400000" cy="3843000"/>
            <wp:docPr id="1" name="Picture 1"/>
            <wp:cNvGraphicFramePr>
              <a:graphicFrameLocks noChangeAspect="1"/>
            </wp:cNvGraphicFramePr>
            <a:graphic>
              <a:graphicData uri="http://schemas.openxmlformats.org/drawingml/2006/picture">
                <pic:pic>
                  <pic:nvPicPr>
                    <pic:cNvPr id="0" name="eda_overview.jpg"/>
                    <pic:cNvPicPr/>
                  </pic:nvPicPr>
                  <pic:blipFill>
                    <a:blip r:embed="rId9"/>
                    <a:stretch>
                      <a:fillRect/>
                    </a:stretch>
                  </pic:blipFill>
                  <pic:spPr>
                    <a:xfrm>
                      <a:off x="0" y="0"/>
                      <a:ext cx="5400000" cy="384300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1 — Первичный разведочный анализ очищенного корпуса</w:t>
      </w:r>
    </w:p>
    <w:p>
      <w:pPr>
        <w:pStyle w:val="Heading2"/>
        <w:ind w:firstLine="0"/>
      </w:pPr>
      <w:r>
        <w:rPr>
          <w:rFonts w:ascii="Times New Roman" w:hAnsi="Times New Roman" w:eastAsia="Times New Roman"/>
          <w:b w:val="0"/>
          <w:i w:val="0"/>
        </w:rPr>
        <w:t>2.2. Формирование признакового пространства</w:t>
      </w:r>
    </w:p>
    <w:p>
      <w:r>
        <w:rPr>
          <w:rFonts w:ascii="Times New Roman" w:hAnsi="Times New Roman" w:eastAsia="Times New Roman"/>
          <w:b w:val="0"/>
          <w:i w:val="0"/>
        </w:rPr>
        <w:t>Для обучения бустинговых моделей использовано гибридное описание текста. Оно объединяет ручные признаки, словесные TF-IDF-признаки после снижения размерности и символьные TF-IDF-признаки после снижения размерности. Такой подход выбран потому, что короткие русскоязычные отзывы содержат одновременно явные лексические сигналы, устойчивые фразы, морфологические варианты слов и неформальные написания.</w:t>
      </w:r>
    </w:p>
    <w:p>
      <w:r>
        <w:rPr>
          <w:rFonts w:ascii="Times New Roman" w:hAnsi="Times New Roman" w:eastAsia="Times New Roman"/>
          <w:b w:val="0"/>
          <w:i w:val="0"/>
        </w:rPr>
        <w:t>Итоговый вектор включает 433 признака. К ручным признакам относятся длина отзыва, число слов, доля уникальных токенов, количество отрицаний, наличие выражения «не рекомендую», частота восклицательных знаков, баланс позитивной и негативной лексики, а также совпадения с наиболее частотными словами классов. Словесные SVD-компоненты сжимают TF-IDF-пространство и фиксируют тематические оси вроде «не соответствует описанию», «деньги вернули», «качество не очень» или «маломерит». Символьные SVD-компоненты дополняют их за счет фрагментов слов: «достав-», «вернул-», «размер-», «супер», «спор», что особенно важно при опечатках и разных формах русских слов.</w:t>
      </w:r>
    </w:p>
    <w:p>
      <w:pPr>
        <w:spacing w:before="60" w:after="120"/>
        <w:ind w:firstLine="0"/>
        <w:jc w:val="center"/>
      </w:pPr>
      <w:r>
        <w:rPr>
          <w:rFonts w:ascii="Times New Roman" w:hAnsi="Times New Roman" w:eastAsia="Times New Roman"/>
          <w:b w:val="0"/>
          <w:i/>
        </w:rPr>
        <w:t>Таблица 2 — Состав признакового пространства</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Группа признаков</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Количество</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Содержательный смысл</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Ручные статистические и лексические признаки</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83</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Длина текста, отрицания, шаблон «не рекомендую», эмоциональная пунктуация, лексический баланс</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SVD-компоненты словесного TF-IDF</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200</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Темы и устойчивые словесные сочетания на уровне слов и фраз</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SVD-компоненты символьного TF-IDF</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150</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Морфологические и орфографические фрагменты, устойчивые части слов</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Итого</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433</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Гибридное табличное представление текста для бустинга</w:t>
            </w:r>
          </w:p>
        </w:tc>
      </w:tr>
    </w:tbl>
    <w:p>
      <w:pPr>
        <w:pStyle w:val="Heading2"/>
        <w:ind w:firstLine="0"/>
      </w:pPr>
      <w:r>
        <w:rPr>
          <w:rFonts w:ascii="Times New Roman" w:hAnsi="Times New Roman" w:eastAsia="Times New Roman"/>
          <w:b w:val="0"/>
          <w:i w:val="0"/>
        </w:rPr>
        <w:t>2.3. Модели и интерпретация</w:t>
      </w:r>
    </w:p>
    <w:p>
      <w:r>
        <w:rPr>
          <w:rFonts w:ascii="Times New Roman" w:hAnsi="Times New Roman" w:eastAsia="Times New Roman"/>
          <w:b w:val="0"/>
          <w:i w:val="0"/>
        </w:rPr>
        <w:t>На одинаковом признаковом пространстве были обучены три модели градиентного бустинга: CatBoost, XGBoost и LightGBM. Сравнение выполнялось по accuracy, macro-precision, macro-recall, macro-F1, ROC-AUC OvR и PR-AUC. Macro-F1 выбран как основная метрика, поскольку задача является многоклассовой и требует сбалансированной оценки качества по всем классам, включая наиболее трудный нейтральный класс.</w:t>
      </w:r>
    </w:p>
    <w:p>
      <w:r>
        <w:rPr>
          <w:rFonts w:ascii="Times New Roman" w:hAnsi="Times New Roman" w:eastAsia="Times New Roman"/>
          <w:b w:val="0"/>
          <w:i w:val="0"/>
        </w:rPr>
        <w:t>Интерпретация построена на четырех взаимодополняющих инструментах. Встроенная важность LightGBM показывает, какие признаки часто используются деревьями в разбиениях. Permutation importance оценивает падение macro-F1 после случайного перемешивания признака и тем самым проверяет его вклад в качество. SHAP раскладывает прогнозы на вклады признаков и позволяет анализировать направление влияния по классам. PDP/ICE показывает среднюю и индивидуальную реакцию модели на изменение отдельного признака. Для SVD-компонент интерпретация выполнялась осторожно: компонент трактовался не как отдельное слово, а как латентная ось, смысл которой задается группами слов или символьных фрагментов с наибольшими весами.</w:t>
      </w:r>
    </w:p>
    <w:p>
      <w:pPr>
        <w:pStyle w:val="Heading1"/>
        <w:ind w:firstLine="0"/>
      </w:pPr>
      <w:r>
        <w:rPr>
          <w:rFonts w:ascii="Times New Roman" w:hAnsi="Times New Roman" w:eastAsia="Times New Roman"/>
          <w:b w:val="0"/>
          <w:i w:val="0"/>
        </w:rPr>
        <w:t>3. Результаты</w:t>
      </w:r>
    </w:p>
    <w:p>
      <w:pPr>
        <w:pStyle w:val="Heading2"/>
        <w:ind w:firstLine="0"/>
      </w:pPr>
      <w:r>
        <w:rPr>
          <w:rFonts w:ascii="Times New Roman" w:hAnsi="Times New Roman" w:eastAsia="Times New Roman"/>
          <w:b w:val="0"/>
          <w:i w:val="0"/>
        </w:rPr>
        <w:t>3.1. Качество классификации</w:t>
      </w:r>
    </w:p>
    <w:p>
      <w:r>
        <w:rPr>
          <w:rFonts w:ascii="Times New Roman" w:hAnsi="Times New Roman" w:eastAsia="Times New Roman"/>
          <w:b w:val="0"/>
          <w:i w:val="0"/>
        </w:rPr>
        <w:t>Все три бустинговые модели показали близкие результаты. Формально лучшей по macro-F1 стала LightGBM, однако отличие от XGBoost невелико. Поэтому выбор LightGBM следует рассматривать не как доказательство принципиального превосходства одной библиотеки, а как практический компромисс между качеством, скоростью инференса, простотой сохранения артефактов и удобством последующей интерпретации.</w:t>
      </w:r>
    </w:p>
    <w:p>
      <w:pPr>
        <w:spacing w:before="60" w:after="120"/>
        <w:ind w:firstLine="0"/>
        <w:jc w:val="center"/>
      </w:pPr>
      <w:r>
        <w:rPr>
          <w:rFonts w:ascii="Times New Roman" w:hAnsi="Times New Roman" w:eastAsia="Times New Roman"/>
          <w:b w:val="0"/>
          <w:i/>
        </w:rPr>
        <w:t>Таблица 3 — Сравнение качества моделей на тестовой выборке</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Модель</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Accuracy</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Precision macro</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Recall macro</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Macro-F1</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ROC-AUC OvR</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PR-AUC</w:t>
            </w:r>
          </w:p>
        </w:tc>
      </w:tr>
      <w:tr>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CatBoost</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0,7326</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0,7372</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0,7326</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0,7342</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0,8907</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0,8011</w:t>
            </w:r>
          </w:p>
        </w:tc>
      </w:tr>
      <w:tr>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XGBoost</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0,7351</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0,7399</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0,7351</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0,7369</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0,8922</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0,8039</w:t>
            </w:r>
          </w:p>
        </w:tc>
      </w:tr>
      <w:tr>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LightGBM</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0,7358</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0,7413</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0,7358</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0,7378</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0,8925</w:t>
            </w:r>
          </w:p>
        </w:tc>
        <w:tc>
          <w:tcPr>
            <w:tcW w:type="dxa" w:w="1425"/>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0,8047</w:t>
            </w:r>
          </w:p>
        </w:tc>
      </w:tr>
    </w:tbl>
    <w:p>
      <w:r>
        <w:rPr>
          <w:rFonts w:ascii="Times New Roman" w:hAnsi="Times New Roman" w:eastAsia="Times New Roman"/>
          <w:b w:val="0"/>
          <w:i w:val="0"/>
        </w:rPr>
        <w:t>По классам LightGBM достигла F1 = 0,72 для отрицательных отзывов, F1 = 0,65 для нейтральных и F1 = 0,85 для положительных. Наиболее сложным оказался нейтральный класс. Это ожидаемо для отзывов электронной коммерции: нейтральные тексты часто короткие, описательные, смешанные по эмоциональной окраске или содержат слабые сигналы, которые пересекаются как с положительными, так и с отрицательными отзывами.</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4500000" cy="3817500"/>
            <wp:docPr id="2" name="Picture 2"/>
            <wp:cNvGraphicFramePr>
              <a:graphicFrameLocks noChangeAspect="1"/>
            </wp:cNvGraphicFramePr>
            <a:graphic>
              <a:graphicData uri="http://schemas.openxmlformats.org/drawingml/2006/picture">
                <pic:pic>
                  <pic:nvPicPr>
                    <pic:cNvPr id="0" name="confusion_matrix.jpg"/>
                    <pic:cNvPicPr/>
                  </pic:nvPicPr>
                  <pic:blipFill>
                    <a:blip r:embed="rId10"/>
                    <a:stretch>
                      <a:fillRect/>
                    </a:stretch>
                  </pic:blipFill>
                  <pic:spPr>
                    <a:xfrm>
                      <a:off x="0" y="0"/>
                      <a:ext cx="4500000" cy="381750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2 — Матрица ошибок LightGBM на тестовой выборке</w:t>
      </w:r>
    </w:p>
    <w:p>
      <w:pPr>
        <w:pStyle w:val="Heading2"/>
        <w:ind w:firstLine="0"/>
      </w:pPr>
      <w:r>
        <w:rPr>
          <w:rFonts w:ascii="Times New Roman" w:hAnsi="Times New Roman" w:eastAsia="Times New Roman"/>
          <w:b w:val="0"/>
          <w:i w:val="0"/>
        </w:rPr>
        <w:t>3.2. Важность признаков</w:t>
      </w:r>
    </w:p>
    <w:p>
      <w:r>
        <w:rPr>
          <w:rFonts w:ascii="Times New Roman" w:hAnsi="Times New Roman" w:eastAsia="Times New Roman"/>
          <w:b w:val="0"/>
          <w:i w:val="0"/>
        </w:rPr>
        <w:t>Встроенная важность LightGBM выделила прежде всего латентные SVD-компоненты: word_svd_3, word_svd_22, char_svd_8, word_svd_6, char_svd_4, char_svd_34 и word_svd_5. Это показывает, что модель активно использует не только простые счетчики и словарные признаки, но и сжатые тематические признаки, извлеченные из TF-IDF-пространства.</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472000" cy="4363920"/>
            <wp:docPr id="3" name="Picture 3"/>
            <wp:cNvGraphicFramePr>
              <a:graphicFrameLocks noChangeAspect="1"/>
            </wp:cNvGraphicFramePr>
            <a:graphic>
              <a:graphicData uri="http://schemas.openxmlformats.org/drawingml/2006/picture">
                <pic:pic>
                  <pic:nvPicPr>
                    <pic:cNvPr id="0" name="feature_importance_top25.jpg"/>
                    <pic:cNvPicPr/>
                  </pic:nvPicPr>
                  <pic:blipFill>
                    <a:blip r:embed="rId11"/>
                    <a:stretch>
                      <a:fillRect/>
                    </a:stretch>
                  </pic:blipFill>
                  <pic:spPr>
                    <a:xfrm>
                      <a:off x="0" y="0"/>
                      <a:ext cx="5472000" cy="436392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3 — Встроенная важность топ-25 признаков LightGBM</w:t>
      </w:r>
    </w:p>
    <w:p>
      <w:r>
        <w:rPr>
          <w:rFonts w:ascii="Times New Roman" w:hAnsi="Times New Roman" w:eastAsia="Times New Roman"/>
          <w:b w:val="0"/>
          <w:i w:val="0"/>
        </w:rPr>
        <w:t>Permutation importance подтверждает, что часть этих признаков действительно поддерживает качество классификации. На валидационной подвыборке базовый macro-F1 составил 0,7279. Наибольшее падение качества дало перемешивание word_svd_3: среднее снижение macro-F1 составило 0,0087. Далее следуют num_chars и pos_neg_top_diff с падением 0,0057, char_svd_8 с падением 0,0046, num_negations с падением 0,0040, char_svd_1 с падением 0,0037 и word_svd_22 с падением 0,0030. Абсолютные значения невелики, но для устойчивой модели на 433 признаках они показывают, какие переменные труднее всего заменить другими признаками.</w:t>
      </w:r>
    </w:p>
    <w:p>
      <w:pPr>
        <w:spacing w:before="60" w:after="120"/>
        <w:ind w:firstLine="0"/>
        <w:jc w:val="center"/>
      </w:pPr>
      <w:r>
        <w:rPr>
          <w:rFonts w:ascii="Times New Roman" w:hAnsi="Times New Roman" w:eastAsia="Times New Roman"/>
          <w:b w:val="0"/>
          <w:i/>
        </w:rPr>
        <w:t>Таблица 4 — Ключевые признаки LightGBM по permutation importance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Признак</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Падение macro-F1</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Содержательная интерпретация</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word_svd_3</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0,0087</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Несоответствие описанию, размеру, фото и цвету</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num_chars</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0,0057</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Длина отзыва и степень информативности текста</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pos_neg_top_diff</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0,0057</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Баланс позитивной и негативной лексики</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char_svd_8</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0,0046</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Доставка и благодарственная лексика</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num_negations</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0,0040</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Отрицательные конструкции в жалобах</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char_svd_1</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0,0037</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Возврат денег и товарные проблемы</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word_svd_22</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0,0030</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Получение заказа, описание, возврат, рекомендация</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char_svd_4</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0,0028</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Продавец/доставка против качества и размера</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word_svd_6</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0,0028</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Качество ткани, синтетика, нитки, плохой материал</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exclaims_per_word</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0,0028</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Эмоциональная насыщенность коротких отзывов</w:t>
            </w:r>
          </w:p>
        </w:tc>
      </w:tr>
    </w:tbl>
    <w:p>
      <w:pPr>
        <w:ind w:firstLine="0"/>
        <w:jc w:val="center"/>
      </w:pPr>
      <w:r>
        <w:rPr>
          <w:rFonts w:ascii="Times New Roman" w:hAnsi="Times New Roman" w:eastAsia="Times New Roman"/>
        </w:rPr>
        <w:drawing>
          <wp:inline xmlns:a="http://schemas.openxmlformats.org/drawingml/2006/main" xmlns:pic="http://schemas.openxmlformats.org/drawingml/2006/picture">
            <wp:extent cx="5472000" cy="4359360"/>
            <wp:docPr id="4" name="Picture 4"/>
            <wp:cNvGraphicFramePr>
              <a:graphicFrameLocks noChangeAspect="1"/>
            </wp:cNvGraphicFramePr>
            <a:graphic>
              <a:graphicData uri="http://schemas.openxmlformats.org/drawingml/2006/picture">
                <pic:pic>
                  <pic:nvPicPr>
                    <pic:cNvPr id="0" name="permutation_importance_top20.jpg"/>
                    <pic:cNvPicPr/>
                  </pic:nvPicPr>
                  <pic:blipFill>
                    <a:blip r:embed="rId12"/>
                    <a:stretch>
                      <a:fillRect/>
                    </a:stretch>
                  </pic:blipFill>
                  <pic:spPr>
                    <a:xfrm>
                      <a:off x="0" y="0"/>
                      <a:ext cx="5472000" cy="435936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4 — Permutation importance по снижению macro-F1</w:t>
      </w:r>
    </w:p>
    <w:p>
      <w:pPr>
        <w:pStyle w:val="Heading2"/>
        <w:ind w:firstLine="0"/>
      </w:pPr>
      <w:r>
        <w:rPr>
          <w:rFonts w:ascii="Times New Roman" w:hAnsi="Times New Roman" w:eastAsia="Times New Roman"/>
          <w:b w:val="0"/>
          <w:i w:val="0"/>
        </w:rPr>
        <w:t>3.3. Расшифровка латентных SVD-компонент</w:t>
      </w:r>
    </w:p>
    <w:p>
      <w:r>
        <w:rPr>
          <w:rFonts w:ascii="Times New Roman" w:hAnsi="Times New Roman" w:eastAsia="Times New Roman"/>
          <w:b w:val="0"/>
          <w:i w:val="0"/>
        </w:rPr>
        <w:t>Для снижения риска произвольной интерпретации SVD-компоненты анализировались через группы слов и символьных фрагментов с наибольшими весами на противоположных сторонах компоненты. Знак компоненты сам по себе не имеет содержательного значения: важен контраст между группами терминов. Такой подход позволяет трактовать SVD-признак как латентную тематическую ось, а не как отдельный токен.</w:t>
      </w:r>
    </w:p>
    <w:p>
      <w:pPr>
        <w:spacing w:before="60" w:after="120"/>
        <w:ind w:firstLine="0"/>
        <w:jc w:val="center"/>
      </w:pPr>
      <w:r>
        <w:rPr>
          <w:rFonts w:ascii="Times New Roman" w:hAnsi="Times New Roman" w:eastAsia="Times New Roman"/>
          <w:b w:val="0"/>
          <w:i/>
        </w:rPr>
        <w:t>Таблица 5 — Содержательная интерпретация ключевых SVD-компонент</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Компонента</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Наиболее характерные сигналы</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sz w:val="20"/>
              </w:rPr>
              <w:t>Интерпретация</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word_svd_3</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«не соответствует», «размер не соответствует», «описанию», «фото», «цвет», «на фото», «картинке» / «спасибо», «супер», «быстрая доставка»</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Ось соответствия ожиданиям: описание, фотография, цвет и размер против благодарственной позитивной лексики</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word_svd_6</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«качество», «не очень», «плохое», «ужасное», «синтетика», «нитки», «торчат»</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Качество материала и исполнения</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word_svd_22</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«получила», «не получила», «деньги не вернули», «соответствует описанию», «рекомендую»</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Операционный опыт покупки: получение заказа, описание, возврат, рекомендация</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char_svd_1</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«верну-», «деньг-» / «размер», «качество»</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Возврат денег на фоне товарных проблем</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char_svd_8</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«достав-», «спасибо», «отли-»</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Доставка как самостоятельный фактор удовлетворенности</w:t>
            </w:r>
          </w:p>
        </w:tc>
      </w:tr>
      <w:tr>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char_svd_34</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«супер» / «спор», «откр-»</w:t>
            </w:r>
          </w:p>
        </w:tc>
        <w:tc>
          <w:tcPr>
            <w:tcW w:type="dxa" w:w="3324"/>
            <w:vAlign w:val="center"/>
            <w:shd w:fill="FFFFFF"/>
          </w:tcPr>
          <w:p>
            <w:pPr>
              <w:ind w:firstLine="0"/>
              <w:jc w:val="center"/>
            </w:pPr>
            <w:r>
              <w:rPr>
                <w:rFonts w:ascii="Times New Roman" w:hAnsi="Times New Roman" w:eastAsia="Times New Roman"/>
                <w:sz w:val="20"/>
              </w:rPr>
            </w:r>
            <w:r>
              <w:rPr>
                <w:rFonts w:ascii="Times New Roman" w:hAnsi="Times New Roman" w:eastAsia="Times New Roman"/>
                <w:b w:val="0"/>
                <w:sz w:val="20"/>
              </w:rPr>
              <w:t>Позитивная оценка против конфликтного сценария с открытием спора</w:t>
            </w:r>
          </w:p>
        </w:tc>
      </w:tr>
    </w:tbl>
    <w:p>
      <w:pPr>
        <w:pStyle w:val="Heading2"/>
        <w:ind w:firstLine="0"/>
      </w:pPr>
      <w:r>
        <w:rPr>
          <w:rFonts w:ascii="Times New Roman" w:hAnsi="Times New Roman" w:eastAsia="Times New Roman"/>
          <w:b w:val="0"/>
          <w:i w:val="0"/>
        </w:rPr>
        <w:t>3.4. PDP/ICE: реакция модели на изменение признаков</w:t>
      </w:r>
    </w:p>
    <w:p>
      <w:r>
        <w:rPr>
          <w:rFonts w:ascii="Times New Roman" w:hAnsi="Times New Roman" w:eastAsia="Times New Roman"/>
          <w:b w:val="0"/>
          <w:i w:val="0"/>
        </w:rPr>
        <w:t>PDP/ICE-графики позволяют перейти от вопроса «какие признаки важны» к вопросу «как изменение признака связано с вероятностями классов». Для ручных признаков ось имеет прямую интерпретацию. Рост pos_neg_top_diff от отрицательных к положительным значениям снижает среднюю вероятность отрицательного класса и повышает вероятность положительного. Увеличение числа отрицаний, напротив, смещает прогноз в сторону негативного класса, хотя эффект умеренный: отрицание может встречаться не только в жалобах, но и в нейтральных конструкциях.</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256000" cy="1432260"/>
            <wp:docPr id="5" name="Picture 5"/>
            <wp:cNvGraphicFramePr>
              <a:graphicFrameLocks noChangeAspect="1"/>
            </wp:cNvGraphicFramePr>
            <a:graphic>
              <a:graphicData uri="http://schemas.openxmlformats.org/drawingml/2006/picture">
                <pic:pic>
                  <pic:nvPicPr>
                    <pic:cNvPr id="0" name="pdp_ice_pos_neg_top_diff.jpg"/>
                    <pic:cNvPicPr/>
                  </pic:nvPicPr>
                  <pic:blipFill>
                    <a:blip r:embed="rId13"/>
                    <a:stretch>
                      <a:fillRect/>
                    </a:stretch>
                  </pic:blipFill>
                  <pic:spPr>
                    <a:xfrm>
                      <a:off x="0" y="0"/>
                      <a:ext cx="5256000" cy="143226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5 — PDP/ICE для признака pos_neg_top_diff</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256000" cy="1432260"/>
            <wp:docPr id="6" name="Picture 6"/>
            <wp:cNvGraphicFramePr>
              <a:graphicFrameLocks noChangeAspect="1"/>
            </wp:cNvGraphicFramePr>
            <a:graphic>
              <a:graphicData uri="http://schemas.openxmlformats.org/drawingml/2006/picture">
                <pic:pic>
                  <pic:nvPicPr>
                    <pic:cNvPr id="0" name="pdp_ice_num_negations.jpg"/>
                    <pic:cNvPicPr/>
                  </pic:nvPicPr>
                  <pic:blipFill>
                    <a:blip r:embed="rId14"/>
                    <a:stretch>
                      <a:fillRect/>
                    </a:stretch>
                  </pic:blipFill>
                  <pic:spPr>
                    <a:xfrm>
                      <a:off x="0" y="0"/>
                      <a:ext cx="5256000" cy="143226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6 — PDP/ICE для признака num_negations</w:t>
      </w:r>
    </w:p>
    <w:p>
      <w:r>
        <w:rPr>
          <w:rFonts w:ascii="Times New Roman" w:hAnsi="Times New Roman" w:eastAsia="Times New Roman"/>
          <w:b w:val="0"/>
          <w:i w:val="0"/>
        </w:rPr>
        <w:t>Шаблон has_not_recommend является более узким и бизнес-интерпретируемым признаком: наличие выражения «не рекомендую» повышает вероятность отрицательного класса и заметно снижает вероятность положительного. Признак num_chars показывает другой эффект: очень короткие отзывы чаще тяготеют к нейтральному классу, а более длинные тексты содержат больше конкретных причин похвалы или жалобы.</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256000" cy="1432260"/>
            <wp:docPr id="7" name="Picture 7"/>
            <wp:cNvGraphicFramePr>
              <a:graphicFrameLocks noChangeAspect="1"/>
            </wp:cNvGraphicFramePr>
            <a:graphic>
              <a:graphicData uri="http://schemas.openxmlformats.org/drawingml/2006/picture">
                <pic:pic>
                  <pic:nvPicPr>
                    <pic:cNvPr id="0" name="pdp_ice_has_not_recommend.jpg"/>
                    <pic:cNvPicPr/>
                  </pic:nvPicPr>
                  <pic:blipFill>
                    <a:blip r:embed="rId15"/>
                    <a:stretch>
                      <a:fillRect/>
                    </a:stretch>
                  </pic:blipFill>
                  <pic:spPr>
                    <a:xfrm>
                      <a:off x="0" y="0"/>
                      <a:ext cx="5256000" cy="143226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7 — PDP/ICE для бинарного признака has_not_recommend</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256000" cy="1432260"/>
            <wp:docPr id="8" name="Picture 8"/>
            <wp:cNvGraphicFramePr>
              <a:graphicFrameLocks noChangeAspect="1"/>
            </wp:cNvGraphicFramePr>
            <a:graphic>
              <a:graphicData uri="http://schemas.openxmlformats.org/drawingml/2006/picture">
                <pic:pic>
                  <pic:nvPicPr>
                    <pic:cNvPr id="0" name="pdp_ice_num_chars.jpg"/>
                    <pic:cNvPicPr/>
                  </pic:nvPicPr>
                  <pic:blipFill>
                    <a:blip r:embed="rId16"/>
                    <a:stretch>
                      <a:fillRect/>
                    </a:stretch>
                  </pic:blipFill>
                  <pic:spPr>
                    <a:xfrm>
                      <a:off x="0" y="0"/>
                      <a:ext cx="5256000" cy="143226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8 — PDP/ICE для признака num_chars</w:t>
      </w:r>
    </w:p>
    <w:p>
      <w:r>
        <w:rPr>
          <w:rFonts w:ascii="Times New Roman" w:hAnsi="Times New Roman" w:eastAsia="Times New Roman"/>
          <w:b w:val="0"/>
          <w:i w:val="0"/>
        </w:rPr>
        <w:t>Для SVD-компонент PDP/ICE требует более осторожного чтения. Изменение word_svd_3 не означает изменение одного слова; оно отражает движение вдоль латентной оси «несоответствие описанию, фото, цвету и размеру» против позитивной благодарственной лексики. Аналогично word_svd_6 отражает ось качества ткани и исполнения, а char_svd_8 — символьную тему доставки и благодарности.</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256000" cy="1432260"/>
            <wp:docPr id="9" name="Picture 9"/>
            <wp:cNvGraphicFramePr>
              <a:graphicFrameLocks noChangeAspect="1"/>
            </wp:cNvGraphicFramePr>
            <a:graphic>
              <a:graphicData uri="http://schemas.openxmlformats.org/drawingml/2006/picture">
                <pic:pic>
                  <pic:nvPicPr>
                    <pic:cNvPr id="0" name="pdp_ice_word_svd_3.jpg"/>
                    <pic:cNvPicPr/>
                  </pic:nvPicPr>
                  <pic:blipFill>
                    <a:blip r:embed="rId17"/>
                    <a:stretch>
                      <a:fillRect/>
                    </a:stretch>
                  </pic:blipFill>
                  <pic:spPr>
                    <a:xfrm>
                      <a:off x="0" y="0"/>
                      <a:ext cx="5256000" cy="143226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9 — PDP/ICE для латентной компоненты word_svd_3</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256000" cy="1432260"/>
            <wp:docPr id="10" name="Picture 10"/>
            <wp:cNvGraphicFramePr>
              <a:graphicFrameLocks noChangeAspect="1"/>
            </wp:cNvGraphicFramePr>
            <a:graphic>
              <a:graphicData uri="http://schemas.openxmlformats.org/drawingml/2006/picture">
                <pic:pic>
                  <pic:nvPicPr>
                    <pic:cNvPr id="0" name="pdp_ice_word_svd_6.jpg"/>
                    <pic:cNvPicPr/>
                  </pic:nvPicPr>
                  <pic:blipFill>
                    <a:blip r:embed="rId18"/>
                    <a:stretch>
                      <a:fillRect/>
                    </a:stretch>
                  </pic:blipFill>
                  <pic:spPr>
                    <a:xfrm>
                      <a:off x="0" y="0"/>
                      <a:ext cx="5256000" cy="143226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10 — PDP/ICE для латентной компоненты word_svd_6</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256000" cy="1432260"/>
            <wp:docPr id="11" name="Picture 11"/>
            <wp:cNvGraphicFramePr>
              <a:graphicFrameLocks noChangeAspect="1"/>
            </wp:cNvGraphicFramePr>
            <a:graphic>
              <a:graphicData uri="http://schemas.openxmlformats.org/drawingml/2006/picture">
                <pic:pic>
                  <pic:nvPicPr>
                    <pic:cNvPr id="0" name="pdp_ice_char_svd_8.jpg"/>
                    <pic:cNvPicPr/>
                  </pic:nvPicPr>
                  <pic:blipFill>
                    <a:blip r:embed="rId19"/>
                    <a:stretch>
                      <a:fillRect/>
                    </a:stretch>
                  </pic:blipFill>
                  <pic:spPr>
                    <a:xfrm>
                      <a:off x="0" y="0"/>
                      <a:ext cx="5256000" cy="143226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11 — PDP/ICE для латентной компоненты char_svd_8</w:t>
      </w:r>
    </w:p>
    <w:p>
      <w:pPr>
        <w:pStyle w:val="Heading2"/>
        <w:ind w:firstLine="0"/>
      </w:pPr>
      <w:r>
        <w:rPr>
          <w:rFonts w:ascii="Times New Roman" w:hAnsi="Times New Roman" w:eastAsia="Times New Roman"/>
          <w:b w:val="0"/>
          <w:i w:val="0"/>
        </w:rPr>
        <w:t>3.5. SHAP-анализ по классам</w:t>
      </w:r>
    </w:p>
    <w:p>
      <w:r>
        <w:rPr>
          <w:rFonts w:ascii="Times New Roman" w:hAnsi="Times New Roman" w:eastAsia="Times New Roman"/>
          <w:b w:val="0"/>
          <w:i w:val="0"/>
        </w:rPr>
        <w:t>SHAP-важность дала близкую, но не полностью совпадающую картину. На первом месте оказался pos_neg_top_diff со средним абсолютным SHAP-вкладом 0,286. Далее следуют word_svd_3, char_svd_1, num_negations, word_svd_6, word_svd_22, char_svd_4 и char_svd_8. Такое расхождение с permutation importance закономерно: SHAP оценивает вклад признака в отдельные прогнозы, а permutation importance — потерю качества после разрушения признака. Поэтому эти методы не дублируют, а взаимно проверяют интерпретацию.</w:t>
      </w:r>
    </w:p>
    <w:p>
      <w:r>
        <w:rPr>
          <w:rFonts w:ascii="Times New Roman" w:hAnsi="Times New Roman" w:eastAsia="Times New Roman"/>
          <w:b w:val="0"/>
          <w:i w:val="0"/>
        </w:rPr>
        <w:t>Для отрицательного класса наиболее существенны признаки несоответствия описанию и фотографии, отрицания, возврат денег, проблемы с размером и качеством ткани. Положительный класс поддерживается положительным лексическим балансом, благодарственной лексикой, соответствием ожиданиям и отсутствием явных жалоб. Нейтральный класс остается самым неоднородным: его SHAP-профиль содержит как признаки доставки и размера, так и признаки качества, но без устойчивого доминирования сильной эмоциональной полярности.</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472000" cy="6680400"/>
            <wp:docPr id="12" name="Picture 12"/>
            <wp:cNvGraphicFramePr>
              <a:graphicFrameLocks noChangeAspect="1"/>
            </wp:cNvGraphicFramePr>
            <a:graphic>
              <a:graphicData uri="http://schemas.openxmlformats.org/drawingml/2006/picture">
                <pic:pic>
                  <pic:nvPicPr>
                    <pic:cNvPr id="0" name="shap_beeswarm_class_minus1.jpg"/>
                    <pic:cNvPicPr/>
                  </pic:nvPicPr>
                  <pic:blipFill>
                    <a:blip r:embed="rId20"/>
                    <a:stretch>
                      <a:fillRect/>
                    </a:stretch>
                  </pic:blipFill>
                  <pic:spPr>
                    <a:xfrm>
                      <a:off x="0" y="0"/>
                      <a:ext cx="5472000" cy="668040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12 — SHAP beeswarm для отрицательного класса</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472000" cy="6557280"/>
            <wp:docPr id="13" name="Picture 13"/>
            <wp:cNvGraphicFramePr>
              <a:graphicFrameLocks noChangeAspect="1"/>
            </wp:cNvGraphicFramePr>
            <a:graphic>
              <a:graphicData uri="http://schemas.openxmlformats.org/drawingml/2006/picture">
                <pic:pic>
                  <pic:nvPicPr>
                    <pic:cNvPr id="0" name="shap_beeswarm_class_0.jpg"/>
                    <pic:cNvPicPr/>
                  </pic:nvPicPr>
                  <pic:blipFill>
                    <a:blip r:embed="rId21"/>
                    <a:stretch>
                      <a:fillRect/>
                    </a:stretch>
                  </pic:blipFill>
                  <pic:spPr>
                    <a:xfrm>
                      <a:off x="0" y="0"/>
                      <a:ext cx="5472000" cy="655728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13 — SHAP beeswarm для нейтрального класса</w:t>
      </w:r>
    </w:p>
    <w:p>
      <w:pPr>
        <w:ind w:firstLine="0"/>
        <w:jc w:val="center"/>
      </w:pPr>
      <w:r>
        <w:rPr>
          <w:rFonts w:ascii="Times New Roman" w:hAnsi="Times New Roman" w:eastAsia="Times New Roman"/>
        </w:rPr>
        <w:drawing>
          <wp:inline xmlns:a="http://schemas.openxmlformats.org/drawingml/2006/main" xmlns:pic="http://schemas.openxmlformats.org/drawingml/2006/picture">
            <wp:extent cx="5472000" cy="6634800"/>
            <wp:docPr id="14" name="Picture 14"/>
            <wp:cNvGraphicFramePr>
              <a:graphicFrameLocks noChangeAspect="1"/>
            </wp:cNvGraphicFramePr>
            <a:graphic>
              <a:graphicData uri="http://schemas.openxmlformats.org/drawingml/2006/picture">
                <pic:pic>
                  <pic:nvPicPr>
                    <pic:cNvPr id="0" name="shap_beeswarm_class_1.jpg"/>
                    <pic:cNvPicPr/>
                  </pic:nvPicPr>
                  <pic:blipFill>
                    <a:blip r:embed="rId22"/>
                    <a:stretch>
                      <a:fillRect/>
                    </a:stretch>
                  </pic:blipFill>
                  <pic:spPr>
                    <a:xfrm>
                      <a:off x="0" y="0"/>
                      <a:ext cx="5472000" cy="6634800"/>
                    </a:xfrm>
                    <a:prstGeom prst="rect"/>
                  </pic:spPr>
                </pic:pic>
              </a:graphicData>
            </a:graphic>
          </wp:inline>
        </w:drawing>
      </w:r>
    </w:p>
    <w:p>
      <w:pPr>
        <w:spacing w:before="60" w:after="120"/>
        <w:ind w:firstLine="0"/>
        <w:jc w:val="center"/>
      </w:pPr>
      <w:r>
        <w:rPr>
          <w:rFonts w:ascii="Times New Roman" w:hAnsi="Times New Roman" w:eastAsia="Times New Roman"/>
          <w:b w:val="0"/>
          <w:i/>
        </w:rPr>
        <w:t>Рисунок 14 — SHAP beeswarm для положительного класса</w:t>
      </w:r>
    </w:p>
    <w:p>
      <w:pPr>
        <w:pStyle w:val="Heading1"/>
        <w:ind w:firstLine="0"/>
      </w:pPr>
      <w:r>
        <w:rPr>
          <w:rFonts w:ascii="Times New Roman" w:hAnsi="Times New Roman" w:eastAsia="Times New Roman"/>
          <w:b w:val="0"/>
          <w:i w:val="0"/>
        </w:rPr>
        <w:t>4. Обсуждение</w:t>
      </w:r>
    </w:p>
    <w:p>
      <w:r>
        <w:rPr>
          <w:rFonts w:ascii="Times New Roman" w:hAnsi="Times New Roman" w:eastAsia="Times New Roman"/>
          <w:b w:val="0"/>
          <w:i w:val="0"/>
        </w:rPr>
        <w:t>Полученные результаты подтверждают основную гипотезу: бустинговая модель на гибридных текстовых признаках может быть полезна не только для классификации тональности, но и для извлечения объяснимых бизнес-сигналов. В отличие от более тяжелых нейросетевых моделей, такой конвейер работает с табличными признаками, быстро выполняет инференс, проще разворачивается в backend-сервисе и допускает несколько независимых способов проверки интерпретируемости.</w:t>
      </w:r>
    </w:p>
    <w:p>
      <w:r>
        <w:rPr>
          <w:rFonts w:ascii="Times New Roman" w:hAnsi="Times New Roman" w:eastAsia="Times New Roman"/>
          <w:b w:val="0"/>
          <w:i w:val="0"/>
        </w:rPr>
        <w:t>На уровне предметной области модель выделяет четыре группы клиентских сигналов. Первая группа — несоответствие ожиданиям: размер, цвет, фотография и описание. Вторая — качество товара: ткань, синтетика, нитки, швы и общая оценка материала. Третья — логистика и получение заказа: доставка, неполучение, долгое ожидание. Четвертая — постпокупочный конфликт: спор, возврат денег, выражения «не вернули» и «не рекомендую». Эти группы согласуются с природой категории одежды, где покупатель особенно чувствителен к посадке, материалу и совпадению реального вида товара с фотографией.</w:t>
      </w:r>
    </w:p>
    <w:p>
      <w:r>
        <w:rPr>
          <w:rFonts w:ascii="Times New Roman" w:hAnsi="Times New Roman" w:eastAsia="Times New Roman"/>
          <w:b w:val="0"/>
          <w:i w:val="0"/>
        </w:rPr>
        <w:t>Методически важна согласованность нескольких способов интерпретации. Если признак значим только во встроенной важности, но не появляется в SHAP и не дает падения macro-F1 при permutation importance, его следует трактовать осторожно. В данной работе ключевые признаки повторяются в разных представлениях: word_svd_3, pos_neg_top_diff, num_negations, char_svd_8, word_svd_6 и word_svd_22 заметны одновременно в SHAP, permutation importance или встроенной важности. Это повышает доверие к выводу, что модель опирается на содержательные клиентские сигналы, а не только на случайные корреляции.</w:t>
      </w:r>
    </w:p>
    <w:p>
      <w:r>
        <w:rPr>
          <w:rFonts w:ascii="Times New Roman" w:hAnsi="Times New Roman" w:eastAsia="Times New Roman"/>
          <w:b w:val="0"/>
          <w:i w:val="0"/>
        </w:rPr>
        <w:t>Ограничения исследования связаны с корпусом, разметкой и типом признаков. Корпус относится к одной товарной категории, поэтому найденные компоненты нельзя автоматически переносить на электронику, продукты питания или услуги. Автоматическая разметка RuReviews может содержать шум. Кроме того, PDP/ICE для SVD-компонент не следует читать как причинно-следственный эффект отдельного слова: это модельная зависимость вдоль латентной оси, а не результат управляемого эксперимента. Наконец, разница между CatBoost, XGBoost и LightGBM мала; для строгого утверждения о превосходстве одной модели в дальнейшей работе нужны повторные запуски, доверительные интервалы или статистическая проверка различий.</w:t>
      </w:r>
    </w:p>
    <w:p>
      <w:pPr>
        <w:pStyle w:val="Heading1"/>
        <w:ind w:firstLine="0"/>
      </w:pPr>
      <w:r>
        <w:rPr>
          <w:rFonts w:ascii="Times New Roman" w:hAnsi="Times New Roman" w:eastAsia="Times New Roman"/>
          <w:b w:val="0"/>
          <w:i w:val="0"/>
        </w:rPr>
        <w:t>5. Заключение</w:t>
      </w:r>
    </w:p>
    <w:p>
      <w:r>
        <w:rPr>
          <w:rFonts w:ascii="Times New Roman" w:hAnsi="Times New Roman" w:eastAsia="Times New Roman"/>
          <w:b w:val="0"/>
          <w:i w:val="0"/>
        </w:rPr>
        <w:t>В статье показано, что градиентный бустинг может быть основой не только для автоматической разметки тональности русскоязычных отзывов, но и для интерпретируемой бизнес-аналитики клиентского опыта. На корпусе отзывов категории «женская одежда и аксессуары» лучшей по macro-F1 среди трех бустинговых моделей стала LightGBM. На тестовой выборке она достигла accuracy 0,7358, macro-F1 0,7378, ROC-AUC OvR 0,8925 и PR-AUC 0,8047.</w:t>
      </w:r>
    </w:p>
    <w:p>
      <w:r>
        <w:rPr>
          <w:rFonts w:ascii="Times New Roman" w:hAnsi="Times New Roman" w:eastAsia="Times New Roman"/>
          <w:b w:val="0"/>
          <w:i w:val="0"/>
        </w:rPr>
        <w:t>Главный результат состоит не в небольшом преимуществе LightGBM над другими бустинговыми моделями, а в том, что совместное использование feature importance, permutation importance, SHAP и PDP/ICE позволило выделить устойчивые и бизнес-интерпретируемые группы клиентских сигналов: несоответствие описанию и фотографии, проблемы размера, качество ткани и швов, доставка, возврат денег, открытие спора и выражение «не рекомендую». Такой подход позволяет рассматривать анализ тональности как этап объяснимого выявления клиентских pain points, а не только как задачу классификации текста.</w:t>
      </w:r>
    </w:p>
    <w:p>
      <w:r>
        <w:rPr>
          <w:rFonts w:ascii="Times New Roman" w:hAnsi="Times New Roman" w:eastAsia="Times New Roman"/>
          <w:b w:val="0"/>
          <w:i w:val="0"/>
        </w:rPr>
        <w:t>Дальнейшая работа может быть связана с проверкой конвейера на других товарных категориях, ручной валидацией выделенных аспектов, добавлением сильных baseline-моделей на основе линейной классификации и трансформеров, а также оценкой статистической устойчивости различий между моделями при повторных разбиениях и разных random seed.</w:t>
      </w:r>
    </w:p>
    <w:p>
      <w:pPr>
        <w:pStyle w:val="Heading1"/>
        <w:ind w:firstLine="0"/>
      </w:pPr>
      <w:r>
        <w:rPr>
          <w:rFonts w:ascii="Times New Roman" w:hAnsi="Times New Roman" w:eastAsia="Times New Roman"/>
          <w:b w:val="0"/>
          <w:i w:val="0"/>
        </w:rPr>
        <w:t>Список литературы</w:t>
      </w:r>
    </w:p>
    <w:p>
      <w:pPr>
        <w:ind w:left="340" w:hanging="340"/>
      </w:pPr>
      <w:r>
        <w:rPr>
          <w:rFonts w:ascii="Times New Roman" w:hAnsi="Times New Roman" w:eastAsia="Times New Roman"/>
          <w:b w:val="0"/>
          <w:i w:val="0"/>
        </w:rPr>
        <w:t>1. Friedman J. H. Greedy Function Approximation: A Gradient Boosting Machine // Annals of Statistics. 2001. Vol. 29. No. 5. P. 1189–1232.</w:t>
      </w:r>
    </w:p>
    <w:p>
      <w:pPr>
        <w:ind w:left="340" w:hanging="340"/>
      </w:pPr>
      <w:r>
        <w:rPr>
          <w:rFonts w:ascii="Times New Roman" w:hAnsi="Times New Roman" w:eastAsia="Times New Roman"/>
          <w:b w:val="0"/>
          <w:i w:val="0"/>
        </w:rPr>
        <w:t>2. Lundberg S. M., Lee S.-I. A Unified Approach to Interpreting Model Predictions // Advances in Neural Information Processing Systems. 2017. Vol. 30. P. 4765–4774.</w:t>
      </w:r>
    </w:p>
    <w:p>
      <w:pPr>
        <w:ind w:left="340" w:hanging="340"/>
      </w:pPr>
      <w:r>
        <w:rPr>
          <w:rFonts w:ascii="Times New Roman" w:hAnsi="Times New Roman" w:eastAsia="Times New Roman"/>
          <w:b w:val="0"/>
          <w:i w:val="0"/>
        </w:rPr>
        <w:t>3. Ke G., Meng Q., Finley T. et al. LightGBM: A Highly Efficient Gradient Boosting Decision Tree // Advances in Neural Information Processing Systems. 2017. Vol. 30.</w:t>
      </w:r>
    </w:p>
    <w:p>
      <w:pPr>
        <w:ind w:left="340" w:hanging="340"/>
      </w:pPr>
      <w:r>
        <w:rPr>
          <w:rFonts w:ascii="Times New Roman" w:hAnsi="Times New Roman" w:eastAsia="Times New Roman"/>
          <w:b w:val="0"/>
          <w:i w:val="0"/>
        </w:rPr>
        <w:t>4. Smetanin S., Komarov M. Sentiment Analysis of Product Reviews in Russian using Convolutional Neural Networks // 2019 IEEE 21st Conference on Business Informatics (CBI). 2019. P. 482–486. DOI: 10.1109/CBI.2019.00062.</w:t>
      </w:r>
    </w:p>
    <w:p>
      <w:pPr>
        <w:ind w:left="340" w:hanging="340"/>
      </w:pPr>
      <w:r>
        <w:rPr>
          <w:rFonts w:ascii="Times New Roman" w:hAnsi="Times New Roman" w:eastAsia="Times New Roman"/>
          <w:b w:val="0"/>
          <w:i w:val="0"/>
        </w:rPr>
        <w:t>5. RuReviews: An Automatically Annotated Sentiment Analysis Dataset for Product Reviews in Russian [Электронный ресурс]. URL: https://github.com/sismetanin/rureviews.</w:t>
      </w:r>
    </w:p>
    <w:p>
      <w:pPr>
        <w:ind w:left="340" w:hanging="340"/>
      </w:pPr>
      <w:r>
        <w:rPr>
          <w:rFonts w:ascii="Times New Roman" w:hAnsi="Times New Roman" w:eastAsia="Times New Roman"/>
          <w:b w:val="0"/>
          <w:i w:val="0"/>
        </w:rPr>
        <w:t>6. Двойникова А. А., Карпов А. А. Аналитический обзор подходов к распознаванию тональности русскоязычных текстовых данных // Информационно-управляющие системы. 2020. № 4. С. 20–30. DOI: 10.31799/1684-8853-2020-4-20-30.</w:t>
      </w:r>
    </w:p>
    <w:p>
      <w:pPr>
        <w:ind w:left="340" w:hanging="340"/>
      </w:pPr>
      <w:r>
        <w:rPr>
          <w:rFonts w:ascii="Times New Roman" w:hAnsi="Times New Roman" w:eastAsia="Times New Roman"/>
          <w:b w:val="0"/>
          <w:i w:val="0"/>
        </w:rPr>
        <w:t>7. Самигулин Т. Р., Джурабаев А. Э. У. Анализ тональности текста методами машинного обучения // Научный результат. Информационные технологии. 2021. Т. 6. № 1. С. 55–62. DOI: 10.18413/2518-1092-2021-6-1-0-7.</w:t>
      </w:r>
    </w:p>
    <w:p>
      <w:pPr>
        <w:ind w:left="340" w:hanging="340"/>
      </w:pPr>
      <w:r>
        <w:rPr>
          <w:rFonts w:ascii="Times New Roman" w:hAnsi="Times New Roman" w:eastAsia="Times New Roman"/>
          <w:b w:val="0"/>
          <w:i w:val="0"/>
        </w:rPr>
        <w:t>8. Mokgwatjane K., Paepae T. An explainable ensemble machine learning approach for multi-domain, multiclass sentiment analysis in Amazon product reviews // Machine Learning with Applications. 2026. Vol. 23. Art. 100825. DOI: 10.1016/j.mlwa.2025.100825.</w:t>
      </w:r>
    </w:p>
    <w:p>
      <w:pPr>
        <w:ind w:left="340" w:hanging="340"/>
      </w:pPr>
      <w:r>
        <w:rPr>
          <w:rFonts w:ascii="Times New Roman" w:hAnsi="Times New Roman" w:eastAsia="Times New Roman"/>
          <w:b w:val="0"/>
          <w:i w:val="0"/>
        </w:rPr>
        <w:t>9. Davoodi L., Mezei J., Heikkilä M. Aspect-based sentiment classification of user reviews to understand customer satisfaction of e-commerce platforms // Electronic Commerce Research. 2026. Vol. 26. P. 1417–1459. DOI: 10.1007/s10660-025-09948-4.</w:t>
      </w:r>
    </w:p>
    <w:sectPr w:rsidR="00FC693F" w:rsidRPr="0006063C" w:rsidSect="00034616">
      <w:footerReference w:type="default" r:id="rId23"/>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