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3" w:type="dxa"/>
        <w:tblInd w:w="-993" w:type="dxa"/>
        <w:tblLook w:val="04A0" w:firstRow="1" w:lastRow="0" w:firstColumn="1" w:lastColumn="0" w:noHBand="0" w:noVBand="1"/>
      </w:tblPr>
      <w:tblGrid>
        <w:gridCol w:w="1256"/>
        <w:gridCol w:w="3533"/>
        <w:gridCol w:w="683"/>
        <w:gridCol w:w="3692"/>
        <w:gridCol w:w="676"/>
        <w:gridCol w:w="1493"/>
      </w:tblGrid>
      <w:tr w:rsidR="00B5630B" w:rsidRPr="00E37D6A" w14:paraId="5327764D" w14:textId="77777777" w:rsidTr="00465207">
        <w:trPr>
          <w:trHeight w:val="194"/>
        </w:trPr>
        <w:tc>
          <w:tcPr>
            <w:tcW w:w="1256" w:type="dxa"/>
          </w:tcPr>
          <w:p w14:paraId="23F1F105" w14:textId="3DEA8865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3" w:type="dxa"/>
          </w:tcPr>
          <w:p w14:paraId="13B806AA" w14:textId="4010BE2C" w:rsidR="00E37D6A" w:rsidRPr="00E37D6A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37D6A" w:rsidRPr="00E37D6A">
              <w:rPr>
                <w:rFonts w:ascii="Times New Roman" w:hAnsi="Times New Roman" w:cs="Times New Roman"/>
                <w:sz w:val="20"/>
                <w:szCs w:val="20"/>
              </w:rPr>
              <w:t>rompt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83" w:type="dxa"/>
          </w:tcPr>
          <w:p w14:paraId="58405183" w14:textId="4F9D864F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Perf.</w:t>
            </w:r>
          </w:p>
        </w:tc>
        <w:tc>
          <w:tcPr>
            <w:tcW w:w="3692" w:type="dxa"/>
          </w:tcPr>
          <w:p w14:paraId="15E463EE" w14:textId="6445942D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Alternative</w:t>
            </w:r>
            <w:r w:rsidR="00B5630B">
              <w:rPr>
                <w:rFonts w:ascii="Times New Roman" w:hAnsi="Times New Roman" w:cs="Times New Roman"/>
                <w:sz w:val="20"/>
                <w:szCs w:val="20"/>
              </w:rPr>
              <w:t xml:space="preserve"> Prompts</w:t>
            </w:r>
          </w:p>
        </w:tc>
        <w:tc>
          <w:tcPr>
            <w:tcW w:w="676" w:type="dxa"/>
          </w:tcPr>
          <w:p w14:paraId="28DD880C" w14:textId="19F61B8C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Perf.</w:t>
            </w:r>
          </w:p>
        </w:tc>
        <w:tc>
          <w:tcPr>
            <w:tcW w:w="1493" w:type="dxa"/>
          </w:tcPr>
          <w:p w14:paraId="75DA4F77" w14:textId="44451258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lessons</w:t>
            </w:r>
          </w:p>
        </w:tc>
      </w:tr>
      <w:tr w:rsidR="00B5630B" w:rsidRPr="00E37D6A" w14:paraId="08AC2F72" w14:textId="77777777" w:rsidTr="00465207">
        <w:trPr>
          <w:trHeight w:val="194"/>
        </w:trPr>
        <w:tc>
          <w:tcPr>
            <w:tcW w:w="1256" w:type="dxa"/>
          </w:tcPr>
          <w:p w14:paraId="79907C68" w14:textId="77777777" w:rsidR="00B5630B" w:rsidRPr="00E37D6A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3" w:type="dxa"/>
          </w:tcPr>
          <w:p w14:paraId="12394DD1" w14:textId="75C09E82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>Act as</w:t>
            </w: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 an experienced bioinformatician. </w:t>
            </w:r>
          </w:p>
          <w:p w14:paraId="3701AAFA" w14:textId="7625A394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>Write R code, without explanation, to analyze RNA-Seq read counts data following instructions.</w:t>
            </w:r>
          </w:p>
        </w:tc>
        <w:tc>
          <w:tcPr>
            <w:tcW w:w="683" w:type="dxa"/>
          </w:tcPr>
          <w:p w14:paraId="560902C6" w14:textId="77777777" w:rsidR="00B5630B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2" w:type="dxa"/>
          </w:tcPr>
          <w:p w14:paraId="238951F6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Act as an experienced bioinformatician. </w:t>
            </w:r>
          </w:p>
          <w:p w14:paraId="32BC4A7C" w14:textId="750050CF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>Write R code, without explanation, to analyze RNA-Seq read counts data following instructions.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630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Load R packages first.</w:t>
            </w:r>
          </w:p>
        </w:tc>
        <w:tc>
          <w:tcPr>
            <w:tcW w:w="676" w:type="dxa"/>
          </w:tcPr>
          <w:p w14:paraId="7C8247BE" w14:textId="77777777" w:rsidR="00B5630B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2D0735EA" w14:textId="6C25F165" w:rsidR="00B5630B" w:rsidRPr="00E37D6A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Severely impact performance when specifically asked to load packages.</w:t>
            </w:r>
          </w:p>
        </w:tc>
      </w:tr>
      <w:tr w:rsidR="00B5630B" w:rsidRPr="00E37D6A" w14:paraId="618E5FC6" w14:textId="77777777" w:rsidTr="00465207">
        <w:trPr>
          <w:trHeight w:val="2313"/>
        </w:trPr>
        <w:tc>
          <w:tcPr>
            <w:tcW w:w="1256" w:type="dxa"/>
          </w:tcPr>
          <w:p w14:paraId="796CA690" w14:textId="77777777" w:rsid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4D24F390" w14:textId="77777777" w:rsidR="00B5630B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23B5F" w14:textId="2009A2EE" w:rsidR="00B5630B" w:rsidRPr="00E37D6A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data</w:t>
            </w:r>
          </w:p>
        </w:tc>
        <w:tc>
          <w:tcPr>
            <w:tcW w:w="3533" w:type="dxa"/>
          </w:tcPr>
          <w:p w14:paraId="3BCEBBC3" w14:textId="77777777" w:rsidR="00465207" w:rsidRPr="00465207" w:rsidRDefault="0046520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 xml:space="preserve">Read raw counts data from a file called  ’../GSE37704_sailfish.csv’. </w:t>
            </w:r>
          </w:p>
          <w:p w14:paraId="0505E8BB" w14:textId="77777777" w:rsidR="00465207" w:rsidRPr="00465207" w:rsidRDefault="0046520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 xml:space="preserve">Treat the first column as row id. Each row represents a gene. </w:t>
            </w:r>
          </w:p>
          <w:p w14:paraId="06DC655C" w14:textId="4EBE0CF3" w:rsidR="00E37D6A" w:rsidRPr="00E37D6A" w:rsidRDefault="0046520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 xml:space="preserve"> Print the number of genes and the first 10 rows.</w:t>
            </w:r>
          </w:p>
        </w:tc>
        <w:tc>
          <w:tcPr>
            <w:tcW w:w="683" w:type="dxa"/>
          </w:tcPr>
          <w:p w14:paraId="7F4D208D" w14:textId="6B525F53" w:rsidR="00E37D6A" w:rsidRPr="00E37D6A" w:rsidRDefault="00CB339F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3692" w:type="dxa"/>
          </w:tcPr>
          <w:p w14:paraId="36D8B646" w14:textId="3683F4A5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Read the RNA-seq read counts data from a file called  ’../GSE37704_sailfish.csv’. </w:t>
            </w:r>
          </w:p>
          <w:p w14:paraId="32D57605" w14:textId="77777777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Store in a data frame called raw_counts. </w:t>
            </w:r>
          </w:p>
          <w:p w14:paraId="421D6872" w14:textId="77777777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Treat the first column as row id. Each row represents a gene. </w:t>
            </w:r>
          </w:p>
          <w:p w14:paraId="320F5E8B" w14:textId="77777777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The samples are derived from primary human lung fibroblasts. </w:t>
            </w:r>
          </w:p>
          <w:p w14:paraId="05E87FB4" w14:textId="77777777" w:rsidR="00E37D6A" w:rsidRDefault="00E37D6A" w:rsidP="00E37D6A">
            <w:pPr>
              <w:spacing w:after="4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The first three columns are normal cells while the last three columns are from cells without the Hoxa1 gene.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E5E762A" w14:textId="5B206C52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Print the first 10 rows.</w:t>
            </w:r>
          </w:p>
          <w:p w14:paraId="50293697" w14:textId="48E7FF93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332F7C91" w14:textId="69C60C0A" w:rsidR="00E37D6A" w:rsidRPr="00E37D6A" w:rsidRDefault="00B5630B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493" w:type="dxa"/>
          </w:tcPr>
          <w:p w14:paraId="58201339" w14:textId="5CE828DF" w:rsidR="00E37D6A" w:rsidRPr="00E37D6A" w:rsidRDefault="00E37D6A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Unnecessary details </w:t>
            </w:r>
            <w:r w:rsidR="00B5630B">
              <w:rPr>
                <w:rFonts w:ascii="Times New Roman" w:hAnsi="Times New Roman" w:cs="Times New Roman"/>
                <w:sz w:val="20"/>
                <w:szCs w:val="20"/>
              </w:rPr>
              <w:t>degrade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performance.</w:t>
            </w:r>
          </w:p>
        </w:tc>
      </w:tr>
      <w:tr w:rsidR="00465207" w:rsidRPr="00E37D6A" w14:paraId="1699431A" w14:textId="77777777" w:rsidTr="00465207">
        <w:trPr>
          <w:trHeight w:val="2313"/>
        </w:trPr>
        <w:tc>
          <w:tcPr>
            <w:tcW w:w="1256" w:type="dxa"/>
          </w:tcPr>
          <w:p w14:paraId="746F834F" w14:textId="1A77F195" w:rsidR="00465207" w:rsidRPr="00E37D6A" w:rsidRDefault="00465207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Gene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annotation</w:t>
            </w:r>
          </w:p>
        </w:tc>
        <w:tc>
          <w:tcPr>
            <w:tcW w:w="3533" w:type="dxa"/>
          </w:tcPr>
          <w:p w14:paraId="750D5B3E" w14:textId="73E9BF01" w:rsidR="00465207" w:rsidRPr="00E37D6A" w:rsidRDefault="00B935A9" w:rsidP="006A193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The row names are Ensembl gene IDs.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6A1937" w:rsidRPr="00B935A9">
              <w:rPr>
                <w:rFonts w:ascii="Times New Roman" w:hAnsi="Times New Roman" w:cs="Times New Roman"/>
                <w:sz w:val="20"/>
                <w:szCs w:val="20"/>
              </w:rPr>
              <w:t>sing the org.Hs.eg.db package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A1937"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etrieve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 xml:space="preserve">corresponding 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gene symbols, Entrez gene IDs, and gene names. Save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 a CSV file. Print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 xml:space="preserve">first 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r w:rsidRPr="00B935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3" w:type="dxa"/>
          </w:tcPr>
          <w:p w14:paraId="1C7248F2" w14:textId="50B51256" w:rsidR="00465207" w:rsidRDefault="00CB339F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692" w:type="dxa"/>
          </w:tcPr>
          <w:p w14:paraId="67652349" w14:textId="77777777" w:rsidR="00465207" w:rsidRPr="00E37D6A" w:rsidRDefault="00465207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2E078A47" w14:textId="77777777" w:rsidR="00465207" w:rsidRDefault="00465207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725088B4" w14:textId="77777777" w:rsidR="00465207" w:rsidRDefault="00465207" w:rsidP="00E37D6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0B" w:rsidRPr="00E37D6A" w14:paraId="50236137" w14:textId="77777777" w:rsidTr="00465207">
        <w:trPr>
          <w:trHeight w:val="194"/>
        </w:trPr>
        <w:tc>
          <w:tcPr>
            <w:tcW w:w="1256" w:type="dxa"/>
          </w:tcPr>
          <w:p w14:paraId="3BED4CD6" w14:textId="6067A992" w:rsidR="00B5630B" w:rsidRDefault="00465207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824EC68" w14:textId="77777777" w:rsidR="00B5630B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79F537" w14:textId="77777777" w:rsidR="00B5630B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transform, </w:t>
            </w:r>
          </w:p>
          <w:p w14:paraId="56B1C188" w14:textId="2B11B566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heatmap</w:t>
            </w:r>
          </w:p>
        </w:tc>
        <w:tc>
          <w:tcPr>
            <w:tcW w:w="3533" w:type="dxa"/>
          </w:tcPr>
          <w:p w14:paraId="5CF8A4F6" w14:textId="7F310DE6" w:rsidR="006A1937" w:rsidRDefault="006A1937" w:rsidP="006A193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Perform the following analyses sequentially. </w:t>
            </w:r>
          </w:p>
          <w:p w14:paraId="528DDAAF" w14:textId="52A69D98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Calculate counts per million (CPM) from raw counts. </w:t>
            </w:r>
          </w:p>
          <w:p w14:paraId="270B5AB2" w14:textId="2C8A3557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Filter the data by r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>emov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 genes with CPM less than 1 in all samples. </w:t>
            </w:r>
          </w:p>
          <w:p w14:paraId="79A32073" w14:textId="77777777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>Print the number of genes removed.</w:t>
            </w:r>
          </w:p>
          <w:p w14:paraId="0220C80E" w14:textId="17EF1AF5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filtering, a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dd 1 to all CPM numbers. </w:t>
            </w:r>
          </w:p>
          <w:p w14:paraId="3EA76055" w14:textId="357E8AFB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Then log transform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resultant 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data using base 2. </w:t>
            </w:r>
          </w:p>
          <w:p w14:paraId="36276CE8" w14:textId="473882D5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 genes by standard deviations in descending order. </w:t>
            </w:r>
          </w:p>
          <w:p w14:paraId="2189CA76" w14:textId="77777777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Convert data as a matrix. </w:t>
            </w:r>
          </w:p>
          <w:p w14:paraId="3E28E3F7" w14:textId="3583218C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>onvert row names to gene symbols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the gene information obtained above. </w:t>
            </w: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>Remove genes without gene symbols.</w:t>
            </w:r>
          </w:p>
          <w:p w14:paraId="41BE3F11" w14:textId="77777777" w:rsidR="006A1937" w:rsidRPr="006A1937" w:rsidRDefault="006A1937" w:rsidP="006A1937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 xml:space="preserve">Subtract row means from all rows. </w:t>
            </w:r>
          </w:p>
          <w:p w14:paraId="7C5A540C" w14:textId="3A863BD4" w:rsidR="00B5630B" w:rsidRPr="00E37D6A" w:rsidRDefault="006A1937" w:rsidP="006A193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6A1937">
              <w:rPr>
                <w:rFonts w:ascii="Times New Roman" w:hAnsi="Times New Roman" w:cs="Times New Roman"/>
                <w:sz w:val="20"/>
                <w:szCs w:val="20"/>
              </w:rPr>
              <w:t>Create a heatmap of the top 50 genes using blue and yellow colors.</w:t>
            </w:r>
          </w:p>
        </w:tc>
        <w:tc>
          <w:tcPr>
            <w:tcW w:w="683" w:type="dxa"/>
          </w:tcPr>
          <w:p w14:paraId="4897C6CD" w14:textId="78B2FA08" w:rsidR="00B5630B" w:rsidRPr="00E37D6A" w:rsidRDefault="00CB339F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3692" w:type="dxa"/>
          </w:tcPr>
          <w:p w14:paraId="0E6825EF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Calculate counts per million (CPM). </w:t>
            </w:r>
          </w:p>
          <w:p w14:paraId="4C83E929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Add 1 to all CPM numbers. </w:t>
            </w:r>
          </w:p>
          <w:p w14:paraId="7B94B198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Then log transform using base 2. </w:t>
            </w:r>
          </w:p>
          <w:p w14:paraId="126DFD0C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Rank genes by standard deviations in descending order. </w:t>
            </w:r>
          </w:p>
          <w:p w14:paraId="061C23A9" w14:textId="77777777" w:rsidR="00B5630B" w:rsidRPr="00B5630B" w:rsidRDefault="00B5630B" w:rsidP="00B5630B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 xml:space="preserve">Subtract row means from all rows. </w:t>
            </w:r>
          </w:p>
          <w:p w14:paraId="305741CD" w14:textId="0090AC5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5630B">
              <w:rPr>
                <w:rFonts w:ascii="Times New Roman" w:hAnsi="Times New Roman" w:cs="Times New Roman"/>
                <w:sz w:val="20"/>
                <w:szCs w:val="20"/>
              </w:rPr>
              <w:t>Create a heatmap of the top 50 genes using blue and yellow colors.</w:t>
            </w:r>
          </w:p>
        </w:tc>
        <w:tc>
          <w:tcPr>
            <w:tcW w:w="676" w:type="dxa"/>
          </w:tcPr>
          <w:p w14:paraId="5C6E2EC3" w14:textId="7777777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1E842F9D" w14:textId="3FCAA6CF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0B" w:rsidRPr="00E37D6A" w14:paraId="1D9E0D80" w14:textId="77777777" w:rsidTr="00465207">
        <w:trPr>
          <w:trHeight w:val="194"/>
        </w:trPr>
        <w:tc>
          <w:tcPr>
            <w:tcW w:w="1256" w:type="dxa"/>
          </w:tcPr>
          <w:p w14:paraId="1304731D" w14:textId="51BEEC52" w:rsidR="00B5630B" w:rsidRPr="00E37D6A" w:rsidRDefault="00465207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B5630B">
              <w:rPr>
                <w:rFonts w:ascii="Times New Roman" w:hAnsi="Times New Roman" w:cs="Times New Roman"/>
                <w:sz w:val="20"/>
                <w:szCs w:val="20"/>
              </w:rPr>
              <w:t xml:space="preserve"> PCA</w:t>
            </w:r>
          </w:p>
        </w:tc>
        <w:tc>
          <w:tcPr>
            <w:tcW w:w="3533" w:type="dxa"/>
          </w:tcPr>
          <w:p w14:paraId="4E3FDAFA" w14:textId="32E4AAEF" w:rsidR="00465207" w:rsidRPr="00465207" w:rsidRDefault="0046520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>Continue analysis using the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 xml:space="preserve"> filtered and</w:t>
            </w: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 xml:space="preserve"> log-transformed data. </w:t>
            </w:r>
          </w:p>
          <w:p w14:paraId="02C0806A" w14:textId="77777777" w:rsidR="00465207" w:rsidRPr="00465207" w:rsidRDefault="0046520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46520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Transpose the data frame</w:t>
            </w:r>
            <w:r w:rsidRPr="00465207">
              <w:rPr>
                <w:rFonts w:ascii="Times New Roman" w:hAnsi="Times New Roman" w:cs="Times New Roman"/>
                <w:sz w:val="20"/>
                <w:szCs w:val="20"/>
              </w:rPr>
              <w:t xml:space="preserve"> and conduct PCA. Use ggplot2 to plot the </w:t>
            </w:r>
          </w:p>
          <w:p w14:paraId="2CC0DCE7" w14:textId="570D474B" w:rsidR="00B5630B" w:rsidRPr="00E37D6A" w:rsidRDefault="006A193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65207" w:rsidRPr="00465207">
              <w:rPr>
                <w:rFonts w:ascii="Times New Roman" w:hAnsi="Times New Roman" w:cs="Times New Roman"/>
                <w:sz w:val="20"/>
                <w:szCs w:val="20"/>
              </w:rPr>
              <w:t>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the first two components</w:t>
            </w:r>
            <w:r w:rsidR="00465207" w:rsidRPr="004652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3" w:type="dxa"/>
          </w:tcPr>
          <w:p w14:paraId="360B8497" w14:textId="6151AC17" w:rsidR="00B5630B" w:rsidRPr="00E37D6A" w:rsidRDefault="00CB339F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3692" w:type="dxa"/>
          </w:tcPr>
          <w:p w14:paraId="7594EEEC" w14:textId="7777777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Continue analysis using the log-transformed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CPM 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data. </w:t>
            </w:r>
          </w:p>
          <w:p w14:paraId="6D9EC64C" w14:textId="7777777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Transpose the data frame and conduct PCA. Use ggplot2 to plot the </w:t>
            </w:r>
          </w:p>
          <w:p w14:paraId="7F2A4778" w14:textId="7777777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samples using the first two principal components.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630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Add the percentage of variances explained to the axis labels, but only keep one digit after the decimal point.</w:t>
            </w:r>
          </w:p>
          <w:p w14:paraId="7DE75AB0" w14:textId="01B273A7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745FCF35" w14:textId="0ECE311A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493" w:type="dxa"/>
          </w:tcPr>
          <w:p w14:paraId="2F8F0ACC" w14:textId="32E7BDE1" w:rsidR="00B5630B" w:rsidRPr="00E37D6A" w:rsidRDefault="00B5630B" w:rsidP="00B5630B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Customizing plots make</w:t>
            </w:r>
            <w:r w:rsidR="00CB33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it harder.</w:t>
            </w:r>
          </w:p>
        </w:tc>
      </w:tr>
      <w:tr w:rsidR="00777171" w:rsidRPr="00E37D6A" w14:paraId="72418671" w14:textId="77777777" w:rsidTr="00465207">
        <w:trPr>
          <w:trHeight w:val="194"/>
        </w:trPr>
        <w:tc>
          <w:tcPr>
            <w:tcW w:w="1256" w:type="dxa"/>
          </w:tcPr>
          <w:p w14:paraId="7B92A718" w14:textId="66AA2900" w:rsidR="00777171" w:rsidRPr="00E37D6A" w:rsidRDefault="0046520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77171">
              <w:rPr>
                <w:rFonts w:ascii="Times New Roman" w:hAnsi="Times New Roman" w:cs="Times New Roman"/>
                <w:sz w:val="20"/>
                <w:szCs w:val="20"/>
              </w:rPr>
              <w:t xml:space="preserve"> DEG</w:t>
            </w:r>
          </w:p>
        </w:tc>
        <w:tc>
          <w:tcPr>
            <w:tcW w:w="3533" w:type="dxa"/>
          </w:tcPr>
          <w:p w14:paraId="5EEC1F18" w14:textId="50B06F1E" w:rsidR="006A1937" w:rsidRDefault="006A1937" w:rsidP="00A718E2">
            <w:pPr>
              <w:spacing w:after="4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the raw count data, remove genes not included in the filtered CPM data.</w:t>
            </w:r>
          </w:p>
          <w:p w14:paraId="1E95AFB7" w14:textId="6B6D06F2" w:rsidR="00A718E2" w:rsidRPr="00A718E2" w:rsidRDefault="00A718E2" w:rsidP="00A718E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 xml:space="preserve">the resultant data </w:t>
            </w: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 xml:space="preserve">to identify differentially expressed genes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with the DESeq2 package.</w:t>
            </w:r>
          </w:p>
          <w:p w14:paraId="6F82C34A" w14:textId="77777777" w:rsidR="00A718E2" w:rsidRPr="00A718E2" w:rsidRDefault="00A718E2" w:rsidP="00A718E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 xml:space="preserve">The first three columns are control samples. </w:t>
            </w:r>
          </w:p>
          <w:p w14:paraId="068AD67D" w14:textId="2059DFB4" w:rsidR="00A718E2" w:rsidRPr="00A718E2" w:rsidRDefault="00A718E2" w:rsidP="00A718E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>The last three are hoxa1 knockout</w:t>
            </w:r>
            <w:r w:rsidR="00CB33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 xml:space="preserve">. Remove genes </w:t>
            </w:r>
            <w:r w:rsidR="006A193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 xml:space="preserve"> any missing values in the DESeq2 results.</w:t>
            </w:r>
          </w:p>
          <w:p w14:paraId="44213D07" w14:textId="17531C68" w:rsidR="00777171" w:rsidRPr="00E37D6A" w:rsidRDefault="00A718E2" w:rsidP="00A718E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A718E2">
              <w:rPr>
                <w:rFonts w:ascii="Times New Roman" w:hAnsi="Times New Roman" w:cs="Times New Roman"/>
                <w:sz w:val="20"/>
                <w:szCs w:val="20"/>
              </w:rPr>
              <w:t>Generate a volcano plot, with lines at log fold change at 1 and FDR less than 0.01.</w:t>
            </w:r>
          </w:p>
        </w:tc>
        <w:tc>
          <w:tcPr>
            <w:tcW w:w="683" w:type="dxa"/>
          </w:tcPr>
          <w:p w14:paraId="277761E6" w14:textId="7B93C32C" w:rsidR="00777171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  <w:tc>
          <w:tcPr>
            <w:tcW w:w="3692" w:type="dxa"/>
          </w:tcPr>
          <w:p w14:paraId="231D0786" w14:textId="77777777" w:rsidR="00777171" w:rsidRPr="00777171" w:rsidRDefault="00777171" w:rsidP="00777171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171">
              <w:rPr>
                <w:rFonts w:ascii="Times New Roman" w:hAnsi="Times New Roman" w:cs="Times New Roman"/>
                <w:sz w:val="20"/>
                <w:szCs w:val="20"/>
              </w:rPr>
              <w:t xml:space="preserve">Continue analysis using the raw read counts. </w:t>
            </w:r>
          </w:p>
          <w:p w14:paraId="11A5DD66" w14:textId="77777777" w:rsidR="00777171" w:rsidRPr="00777171" w:rsidRDefault="00777171" w:rsidP="00777171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171">
              <w:rPr>
                <w:rFonts w:ascii="Times New Roman" w:hAnsi="Times New Roman" w:cs="Times New Roman"/>
                <w:sz w:val="20"/>
                <w:szCs w:val="20"/>
              </w:rPr>
              <w:t xml:space="preserve">Use DESeq2 to identify differentially expressed genes. </w:t>
            </w:r>
          </w:p>
          <w:p w14:paraId="232B4469" w14:textId="77777777" w:rsidR="00777171" w:rsidRPr="00777171" w:rsidRDefault="00777171" w:rsidP="00777171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171">
              <w:rPr>
                <w:rFonts w:ascii="Times New Roman" w:hAnsi="Times New Roman" w:cs="Times New Roman"/>
                <w:sz w:val="20"/>
                <w:szCs w:val="20"/>
              </w:rPr>
              <w:t xml:space="preserve">The first three columns are control samples. </w:t>
            </w:r>
          </w:p>
          <w:p w14:paraId="4DEC2604" w14:textId="77777777" w:rsidR="00777171" w:rsidRPr="00777171" w:rsidRDefault="00777171" w:rsidP="00777171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171">
              <w:rPr>
                <w:rFonts w:ascii="Times New Roman" w:hAnsi="Times New Roman" w:cs="Times New Roman"/>
                <w:sz w:val="20"/>
                <w:szCs w:val="20"/>
              </w:rPr>
              <w:t xml:space="preserve">The last three are hoxa1 knockout. Convert the result to a data frame. </w:t>
            </w:r>
          </w:p>
          <w:p w14:paraId="4A2F1261" w14:textId="777B584B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77171">
              <w:rPr>
                <w:rFonts w:ascii="Times New Roman" w:hAnsi="Times New Roman" w:cs="Times New Roman"/>
                <w:sz w:val="20"/>
                <w:szCs w:val="20"/>
              </w:rPr>
              <w:t>Generate a volcano plot, with lines at log fold change at 1 and FDR less than 0.01.</w:t>
            </w:r>
          </w:p>
        </w:tc>
        <w:tc>
          <w:tcPr>
            <w:tcW w:w="676" w:type="dxa"/>
          </w:tcPr>
          <w:p w14:paraId="1919736D" w14:textId="00E041BD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493" w:type="dxa"/>
          </w:tcPr>
          <w:p w14:paraId="0AE0EF1B" w14:textId="6AC1E73D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removing genes with no change causes errors.</w:t>
            </w:r>
          </w:p>
        </w:tc>
      </w:tr>
      <w:tr w:rsidR="00777171" w:rsidRPr="00E37D6A" w14:paraId="1666F0F6" w14:textId="77777777" w:rsidTr="00465207">
        <w:trPr>
          <w:trHeight w:val="194"/>
        </w:trPr>
        <w:tc>
          <w:tcPr>
            <w:tcW w:w="1256" w:type="dxa"/>
          </w:tcPr>
          <w:p w14:paraId="7C4D8278" w14:textId="2F0BD4CE" w:rsidR="00777171" w:rsidRDefault="0046520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2030758C" w14:textId="428DD83E" w:rsidR="00777171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Identify</w:t>
            </w:r>
          </w:p>
          <w:p w14:paraId="60759CED" w14:textId="1B121807" w:rsidR="00777171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Upregulated,</w:t>
            </w:r>
          </w:p>
          <w:p w14:paraId="30450282" w14:textId="760C0712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conversion</w:t>
            </w:r>
          </w:p>
        </w:tc>
        <w:tc>
          <w:tcPr>
            <w:tcW w:w="3533" w:type="dxa"/>
          </w:tcPr>
          <w:p w14:paraId="07EE69A3" w14:textId="09EA4C12" w:rsidR="00777171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the DESeq2 result, i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>dentify</w:t>
            </w:r>
            <w:r w:rsidR="00465207">
              <w:rPr>
                <w:rFonts w:ascii="Times New Roman" w:hAnsi="Times New Roman" w:cs="Times New Roman"/>
                <w:sz w:val="20"/>
                <w:szCs w:val="20"/>
              </w:rPr>
              <w:t xml:space="preserve"> up-regulated 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>genes with FDR &lt; 0.</w:t>
            </w:r>
            <w:r w:rsidR="0046520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1 and </w:t>
            </w:r>
            <w:r w:rsidR="00465207">
              <w:rPr>
                <w:rFonts w:ascii="Times New Roman" w:hAnsi="Times New Roman" w:cs="Times New Roman"/>
                <w:sz w:val="20"/>
                <w:szCs w:val="20"/>
              </w:rPr>
              <w:t>LFC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bigger than </w:t>
            </w:r>
            <w:r w:rsidR="004652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0575905" w14:textId="03D2BE75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Sort the genes by </w:t>
            </w:r>
            <w:r w:rsidR="00465207">
              <w:rPr>
                <w:rFonts w:ascii="Times New Roman" w:hAnsi="Times New Roman" w:cs="Times New Roman"/>
                <w:sz w:val="20"/>
                <w:szCs w:val="20"/>
              </w:rPr>
              <w:t>LFC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in descending order.</w:t>
            </w:r>
          </w:p>
          <w:p w14:paraId="7FD3A9A2" w14:textId="3FC59E8E" w:rsidR="00777171" w:rsidRPr="00E37D6A" w:rsidRDefault="0046520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Using the gene information obtained above, c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reate a data frame containing the following information </w:t>
            </w:r>
            <w:r w:rsidR="00777171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the 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regulated genes: log fold change,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FDR, 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gene symbol,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Ensembl IDs, Entrez IDs, </w:t>
            </w:r>
            <w:r w:rsidR="00777171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and gene name.  </w:t>
            </w:r>
          </w:p>
          <w:p w14:paraId="761FB45E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Save that into a CSV file.</w:t>
            </w:r>
          </w:p>
          <w:p w14:paraId="3957788E" w14:textId="588D6445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Print the top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0 genes.</w:t>
            </w:r>
          </w:p>
          <w:p w14:paraId="6BB8A38B" w14:textId="6F774743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E0FD0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dxa"/>
          </w:tcPr>
          <w:p w14:paraId="7F2C100D" w14:textId="71AE1746" w:rsidR="00777171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3692" w:type="dxa"/>
          </w:tcPr>
          <w:p w14:paraId="19318F8F" w14:textId="29F38B19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12833BAB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1D5D1121" w14:textId="006DE1FC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171" w:rsidRPr="00E37D6A" w14:paraId="5F0BB73F" w14:textId="77777777" w:rsidTr="00465207">
        <w:trPr>
          <w:trHeight w:val="194"/>
        </w:trPr>
        <w:tc>
          <w:tcPr>
            <w:tcW w:w="1256" w:type="dxa"/>
          </w:tcPr>
          <w:p w14:paraId="038E6585" w14:textId="4F2BCA43" w:rsidR="00777171" w:rsidRDefault="0046520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33" w:type="dxa"/>
          </w:tcPr>
          <w:p w14:paraId="1F8CADF0" w14:textId="77777777" w:rsidR="00CB339F" w:rsidRPr="00CB339F" w:rsidRDefault="00CB339F" w:rsidP="00CB339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 xml:space="preserve">Conduct Gene Ontology enrichment analysis on the upregulated genes using the clusterProfiler package. Focus on GO Biological Process terms, </w:t>
            </w:r>
          </w:p>
          <w:p w14:paraId="72F9902C" w14:textId="77777777" w:rsidR="00CB339F" w:rsidRPr="00CB339F" w:rsidRDefault="00CB339F" w:rsidP="00CB339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>excluding those with less than 5 or more than 5000 genes. Use the Entrez gene IDs in the last step and annotation in the org.Hs.eg.db package.</w:t>
            </w:r>
          </w:p>
          <w:p w14:paraId="6B1CECD4" w14:textId="77777777" w:rsidR="00CB339F" w:rsidRPr="00CB339F" w:rsidRDefault="00CB339F" w:rsidP="00CB339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>Save the results to a CSV file.</w:t>
            </w:r>
          </w:p>
          <w:p w14:paraId="08D95E8F" w14:textId="0AB56E1B" w:rsidR="00777171" w:rsidRPr="00E37D6A" w:rsidRDefault="00CB339F" w:rsidP="00CB339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 xml:space="preserve">enrichplot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package </w:t>
            </w: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 xml:space="preserve">to plot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CB339F">
              <w:rPr>
                <w:rFonts w:ascii="Times New Roman" w:hAnsi="Times New Roman" w:cs="Times New Roman"/>
                <w:sz w:val="20"/>
                <w:szCs w:val="20"/>
              </w:rPr>
              <w:t>top 10 terms.</w:t>
            </w:r>
          </w:p>
        </w:tc>
        <w:tc>
          <w:tcPr>
            <w:tcW w:w="683" w:type="dxa"/>
          </w:tcPr>
          <w:p w14:paraId="160D531E" w14:textId="0B901110" w:rsidR="00777171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3692" w:type="dxa"/>
          </w:tcPr>
          <w:p w14:paraId="183A5E19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1238A167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2194A85D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171" w:rsidRPr="00E37D6A" w14:paraId="183D6C5A" w14:textId="77777777" w:rsidTr="00465207">
        <w:trPr>
          <w:trHeight w:val="194"/>
        </w:trPr>
        <w:tc>
          <w:tcPr>
            <w:tcW w:w="1256" w:type="dxa"/>
          </w:tcPr>
          <w:p w14:paraId="3B90AEF0" w14:textId="0A72B363" w:rsidR="00777171" w:rsidRDefault="0046520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33" w:type="dxa"/>
          </w:tcPr>
          <w:p w14:paraId="3893F7D1" w14:textId="3FEE2C78" w:rsidR="00777171" w:rsidRPr="00E37D6A" w:rsidRDefault="00B9698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Repeat these analyses for down-regulated genes.</w:t>
            </w:r>
          </w:p>
        </w:tc>
        <w:tc>
          <w:tcPr>
            <w:tcW w:w="683" w:type="dxa"/>
          </w:tcPr>
          <w:p w14:paraId="1F96E378" w14:textId="2D962AD4" w:rsidR="00777171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3692" w:type="dxa"/>
          </w:tcPr>
          <w:p w14:paraId="7AA14490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17D03D94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2AD71495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8E2" w:rsidRPr="00E37D6A" w14:paraId="1146F80A" w14:textId="77777777" w:rsidTr="00465207">
        <w:trPr>
          <w:trHeight w:val="194"/>
        </w:trPr>
        <w:tc>
          <w:tcPr>
            <w:tcW w:w="1256" w:type="dxa"/>
          </w:tcPr>
          <w:p w14:paraId="3B613EEF" w14:textId="711F76FF" w:rsidR="00A718E2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33" w:type="dxa"/>
          </w:tcPr>
          <w:p w14:paraId="7A65770E" w14:textId="4EA083D0" w:rsidR="00A718E2" w:rsidRPr="00E37D6A" w:rsidRDefault="00A718E2" w:rsidP="00A718E2">
            <w:pPr>
              <w:spacing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Use the gage package to retrieve KEGG pathways for humans. </w:t>
            </w:r>
          </w:p>
          <w:p w14:paraId="1CB820EE" w14:textId="21954933" w:rsidR="00A718E2" w:rsidRPr="00E37D6A" w:rsidRDefault="00A718E2" w:rsidP="00A718E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Show the number of pathways. Show the name of the genes in the first pathway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3" w:type="dxa"/>
          </w:tcPr>
          <w:p w14:paraId="5ED41696" w14:textId="78515B73" w:rsidR="00A718E2" w:rsidRPr="00E37D6A" w:rsidRDefault="00CB339F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30%</w:t>
            </w:r>
          </w:p>
        </w:tc>
        <w:tc>
          <w:tcPr>
            <w:tcW w:w="3692" w:type="dxa"/>
          </w:tcPr>
          <w:p w14:paraId="09736751" w14:textId="77777777" w:rsidR="00A718E2" w:rsidRPr="00E37D6A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2B4F3457" w14:textId="77777777" w:rsidR="00A718E2" w:rsidRPr="00E37D6A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1897C400" w14:textId="77777777" w:rsidR="00A718E2" w:rsidRPr="00E37D6A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171" w:rsidRPr="00E37D6A" w14:paraId="74C5DF02" w14:textId="77777777" w:rsidTr="00465207">
        <w:trPr>
          <w:trHeight w:val="194"/>
        </w:trPr>
        <w:tc>
          <w:tcPr>
            <w:tcW w:w="1256" w:type="dxa"/>
          </w:tcPr>
          <w:p w14:paraId="7DC7BD37" w14:textId="2DCC86E5" w:rsidR="00777171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33" w:type="dxa"/>
          </w:tcPr>
          <w:p w14:paraId="13D05CFF" w14:textId="60775410" w:rsidR="00B96987" w:rsidRPr="00E37D6A" w:rsidRDefault="00B96987" w:rsidP="0046520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Perform pathway analysis using the gage package and the KEGG pathways just retrieved. </w:t>
            </w:r>
          </w:p>
          <w:p w14:paraId="3B8C6DCA" w14:textId="060977DE" w:rsidR="00B96987" w:rsidRPr="00E37D6A" w:rsidRDefault="00A718E2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the log transformed data, but change the row names to Entrez gene IDs using the gene information retrieved. Remove genes without Entrez IDs. T</w:t>
            </w:r>
            <w:r w:rsidR="00B96987"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he first three samples are </w:t>
            </w:r>
            <w:r w:rsidR="00342E25">
              <w:rPr>
                <w:rFonts w:ascii="Times New Roman" w:hAnsi="Times New Roman" w:cs="Times New Roman"/>
                <w:sz w:val="20"/>
                <w:szCs w:val="20"/>
              </w:rPr>
              <w:t>controls</w:t>
            </w:r>
            <w:r w:rsidR="00B96987" w:rsidRPr="00E37D6A">
              <w:rPr>
                <w:rFonts w:ascii="Times New Roman" w:hAnsi="Times New Roman" w:cs="Times New Roman"/>
                <w:sz w:val="20"/>
                <w:szCs w:val="20"/>
              </w:rPr>
              <w:t>. The last three are mutant.</w:t>
            </w:r>
          </w:p>
          <w:p w14:paraId="155CBF58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Write the pathway analysis results to a file. </w:t>
            </w:r>
          </w:p>
          <w:p w14:paraId="22254818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Show the information for the top three top upregulated KEGG pathways from the result. </w:t>
            </w:r>
          </w:p>
          <w:p w14:paraId="0B4B923F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Extract and show the pathway IDs of the three top pathways. </w:t>
            </w:r>
          </w:p>
          <w:p w14:paraId="6D361FF9" w14:textId="0E2135AA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The pathway IDs are the first word of the pathway name. More</w:t>
            </w:r>
            <w:r w:rsidR="00342E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information about the parameters for the </w:t>
            </w:r>
          </w:p>
          <w:p w14:paraId="5075904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gage function:</w:t>
            </w:r>
          </w:p>
          <w:p w14:paraId="492D320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exprs:  </w:t>
            </w:r>
          </w:p>
          <w:p w14:paraId="65E5643A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an expression matrix or matrix-like data structure, with genes as rows and samples as columns.</w:t>
            </w:r>
          </w:p>
          <w:p w14:paraId="2C42E08F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gsets a named list, each element contains a gene set that is a character vector of gene</w:t>
            </w:r>
          </w:p>
          <w:p w14:paraId="1CAD9F7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IDs or symbols. For example, type head(kegg.gs). A gene set can also be a</w:t>
            </w:r>
          </w:p>
          <w:p w14:paraId="4BCBB06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'smc' object defined in PGSEA package. Please make sure that the same gene</w:t>
            </w:r>
          </w:p>
          <w:p w14:paraId="603B829C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ID system is used for both gsets and exprs.</w:t>
            </w:r>
          </w:p>
          <w:p w14:paraId="660E8C0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ref:</w:t>
            </w:r>
          </w:p>
          <w:p w14:paraId="571F2EA7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a numeric vector of column numbers for the reference condition or phenotype</w:t>
            </w:r>
          </w:p>
          <w:p w14:paraId="624DA065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(i.e. the control group) in the exprs data matrix. Default ref = NULL, all columns</w:t>
            </w:r>
          </w:p>
          <w:p w14:paraId="570F39D4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are considered as target experiments.</w:t>
            </w:r>
          </w:p>
          <w:p w14:paraId="7E2A4C82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samp:</w:t>
            </w:r>
          </w:p>
          <w:p w14:paraId="37C616E8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a numeric vector of column numbers for the target condition or phenotype (i.e.</w:t>
            </w:r>
          </w:p>
          <w:p w14:paraId="4569898A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the experiment group) in the exprs data matrix. Default samp = NULL, all</w:t>
            </w:r>
          </w:p>
          <w:p w14:paraId="7CCE4301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columns other than ref are considered as target experiments.</w:t>
            </w:r>
          </w:p>
          <w:p w14:paraId="0FED6F55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set.size:</w:t>
            </w:r>
          </w:p>
          <w:p w14:paraId="22D4CDFF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gene set size (number of genes) range to be considered for enrichment test. Tests</w:t>
            </w:r>
          </w:p>
          <w:p w14:paraId="58EF795D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for too small or too big gene sets are not robust statistically or informative biologically. Default to be set.size = c(10, 500).</w:t>
            </w:r>
          </w:p>
          <w:p w14:paraId="760FDACB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same.dir:</w:t>
            </w:r>
          </w:p>
          <w:p w14:paraId="5949A12B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boolean, whether to test for changes in a gene set toward a single direction (all</w:t>
            </w:r>
          </w:p>
          <w:p w14:paraId="78B8DF8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genes up or down regulated) or changes towards both directions simultaneously.</w:t>
            </w:r>
          </w:p>
          <w:p w14:paraId="676480B4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For experimentally derived gene sets, GO term groups, etc, coregulation is commonly the case, hence same.dir = TRUE (default); In KEGG, BioCarta pathways, genes frequently are not coregulated, hence it could be informative to let</w:t>
            </w:r>
          </w:p>
          <w:p w14:paraId="15AA7600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same.dir = FALSE. Although same.dir = TRUE could also be interesting for</w:t>
            </w:r>
          </w:p>
          <w:p w14:paraId="477D9419" w14:textId="77777777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pathways.</w:t>
            </w:r>
          </w:p>
          <w:p w14:paraId="72B2D785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dxa"/>
          </w:tcPr>
          <w:p w14:paraId="520302ED" w14:textId="4762CBD0" w:rsidR="00777171" w:rsidRPr="00E37D6A" w:rsidRDefault="00296105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10%</w:t>
            </w:r>
          </w:p>
        </w:tc>
        <w:tc>
          <w:tcPr>
            <w:tcW w:w="3692" w:type="dxa"/>
          </w:tcPr>
          <w:p w14:paraId="58941071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4347B0CB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30562B3F" w14:textId="77777777" w:rsidR="00777171" w:rsidRPr="00E37D6A" w:rsidRDefault="00777171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987" w:rsidRPr="00E37D6A" w14:paraId="789773C4" w14:textId="77777777" w:rsidTr="00465207">
        <w:trPr>
          <w:trHeight w:val="194"/>
        </w:trPr>
        <w:tc>
          <w:tcPr>
            <w:tcW w:w="1256" w:type="dxa"/>
          </w:tcPr>
          <w:p w14:paraId="014666BA" w14:textId="10C42603" w:rsidR="00B96987" w:rsidRDefault="00B9698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33" w:type="dxa"/>
          </w:tcPr>
          <w:p w14:paraId="5F05DA4D" w14:textId="76FF9C07" w:rsidR="00342E25" w:rsidRDefault="00A718E2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Extract LFC numbers from DESeq2 results.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Convert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LFC numbers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into a vector, where names of values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Ensembl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gene IDs.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Convert gene IDs to </w:t>
            </w:r>
            <w:r w:rsidR="00342E25">
              <w:rPr>
                <w:rFonts w:ascii="Times New Roman" w:hAnsi="Times New Roman" w:cs="Times New Roman"/>
                <w:sz w:val="20"/>
                <w:szCs w:val="20"/>
              </w:rPr>
              <w:t xml:space="preserve">Entrez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gene information retrieved. </w:t>
            </w:r>
          </w:p>
          <w:p w14:paraId="04DF9D14" w14:textId="0CFA98FC" w:rsidR="00B96987" w:rsidRPr="00E37D6A" w:rsidRDefault="00B96987" w:rsidP="00B9698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Use the pathview package to generate pathway diagram</w:t>
            </w:r>
            <w:r w:rsidR="00342E2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 xml:space="preserve"> for the top three pathways just identified</w:t>
            </w:r>
            <w:r w:rsidR="00A718E2">
              <w:rPr>
                <w:rFonts w:ascii="Times New Roman" w:hAnsi="Times New Roman" w:cs="Times New Roman"/>
                <w:sz w:val="20"/>
                <w:szCs w:val="20"/>
              </w:rPr>
              <w:t xml:space="preserve"> using gage</w:t>
            </w:r>
            <w:r w:rsidRPr="00E37D6A">
              <w:rPr>
                <w:rFonts w:ascii="Times New Roman" w:hAnsi="Times New Roman" w:cs="Times New Roman"/>
                <w:sz w:val="20"/>
                <w:szCs w:val="20"/>
              </w:rPr>
              <w:t>. Color-code the expression data on the diagram</w:t>
            </w:r>
            <w:r w:rsidR="00342E25">
              <w:rPr>
                <w:rFonts w:ascii="Times New Roman" w:hAnsi="Times New Roman" w:cs="Times New Roman"/>
                <w:sz w:val="20"/>
                <w:szCs w:val="20"/>
              </w:rPr>
              <w:t xml:space="preserve"> using logfc.</w:t>
            </w:r>
          </w:p>
        </w:tc>
        <w:tc>
          <w:tcPr>
            <w:tcW w:w="683" w:type="dxa"/>
          </w:tcPr>
          <w:p w14:paraId="1199C1E4" w14:textId="3431D5C9" w:rsidR="00B96987" w:rsidRPr="00E37D6A" w:rsidRDefault="00A718E2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92" w:type="dxa"/>
          </w:tcPr>
          <w:p w14:paraId="52AFFA96" w14:textId="77777777" w:rsidR="00B96987" w:rsidRPr="00E37D6A" w:rsidRDefault="00B9698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</w:tcPr>
          <w:p w14:paraId="442D3440" w14:textId="77777777" w:rsidR="00B96987" w:rsidRPr="00E37D6A" w:rsidRDefault="00B9698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</w:tcPr>
          <w:p w14:paraId="153A4C8D" w14:textId="77777777" w:rsidR="00B96987" w:rsidRPr="00E37D6A" w:rsidRDefault="00B96987" w:rsidP="00777171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F7C9C19" w14:textId="77777777" w:rsidR="00E37D6A" w:rsidRPr="00E37D6A" w:rsidRDefault="00E37D6A" w:rsidP="00E37D6A">
      <w:pPr>
        <w:spacing w:after="40"/>
        <w:rPr>
          <w:rFonts w:ascii="Times New Roman" w:hAnsi="Times New Roman" w:cs="Times New Roman"/>
          <w:sz w:val="20"/>
          <w:szCs w:val="20"/>
        </w:rPr>
      </w:pPr>
    </w:p>
    <w:p w14:paraId="66E03468" w14:textId="77777777" w:rsidR="00E37D6A" w:rsidRPr="00E37D6A" w:rsidRDefault="00E37D6A" w:rsidP="00E37D6A">
      <w:pPr>
        <w:spacing w:after="40"/>
        <w:rPr>
          <w:rFonts w:ascii="Times New Roman" w:hAnsi="Times New Roman" w:cs="Times New Roman"/>
          <w:sz w:val="20"/>
          <w:szCs w:val="20"/>
        </w:rPr>
      </w:pPr>
    </w:p>
    <w:p w14:paraId="7D3BF2EE" w14:textId="77777777" w:rsidR="00E37D6A" w:rsidRPr="00E37D6A" w:rsidRDefault="00E37D6A" w:rsidP="00E37D6A">
      <w:pPr>
        <w:spacing w:after="40"/>
        <w:rPr>
          <w:rFonts w:ascii="Times New Roman" w:hAnsi="Times New Roman" w:cs="Times New Roman"/>
          <w:sz w:val="20"/>
          <w:szCs w:val="20"/>
        </w:rPr>
      </w:pPr>
    </w:p>
    <w:sectPr w:rsidR="00E37D6A" w:rsidRPr="00E37D6A" w:rsidSect="00A718E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NjAzsTS0MDc3MjNQ0lEKTi0uzszPAykwrAUA6GzuWiwAAAA="/>
  </w:docVars>
  <w:rsids>
    <w:rsidRoot w:val="00E37D6A"/>
    <w:rsid w:val="00296105"/>
    <w:rsid w:val="00342E25"/>
    <w:rsid w:val="00465207"/>
    <w:rsid w:val="006A1937"/>
    <w:rsid w:val="00777171"/>
    <w:rsid w:val="00A718E2"/>
    <w:rsid w:val="00B27308"/>
    <w:rsid w:val="00B5630B"/>
    <w:rsid w:val="00B935A9"/>
    <w:rsid w:val="00B96987"/>
    <w:rsid w:val="00C764B2"/>
    <w:rsid w:val="00C93275"/>
    <w:rsid w:val="00CB339F"/>
    <w:rsid w:val="00DC721A"/>
    <w:rsid w:val="00E3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08DB"/>
  <w15:chartTrackingRefBased/>
  <w15:docId w15:val="{40CB164C-F0BE-4773-BF10-21543038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4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Xijin</dc:creator>
  <cp:keywords/>
  <dc:description/>
  <cp:lastModifiedBy>Ge, Xijin</cp:lastModifiedBy>
  <cp:revision>12</cp:revision>
  <dcterms:created xsi:type="dcterms:W3CDTF">2023-05-08T14:44:00Z</dcterms:created>
  <dcterms:modified xsi:type="dcterms:W3CDTF">2023-05-10T02:32:00Z</dcterms:modified>
</cp:coreProperties>
</file>