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回旋频率比较操作手册</w:t>
      </w:r>
    </w:p>
    <w:p>
      <w:pPr>
        <w:pStyle w:val="Author"/>
      </w:pPr>
      <w:r>
        <w:t xml:space="preserve">TrapLab</w:t>
      </w:r>
      <w:r>
        <w:t xml:space="preserve"> </w:t>
      </w:r>
      <w:r>
        <w:t xml:space="preserve">documentation</w:t>
      </w:r>
    </w:p>
    <w:p>
      <w:pPr>
        <w:pStyle w:val="Date"/>
      </w:pPr>
      <w:r>
        <w:t xml:space="preserve">2026-10-24</w:t>
      </w:r>
    </w:p>
    <w:p>
      <w:pPr>
        <w:pStyle w:val="FirstParagraph"/>
      </w:pPr>
      <w:r>
        <w:t xml:space="preserve">既有 Lab 回旋计算器可在同一个磁场下比较一到十个明确指定的离子或同位素分子。每行保留自己的质量约定、不确定度和来源。本工具计算自由回旋频率，不拟合共振、不标定磁场，也不推断未知的原子组成。</w:t>
      </w:r>
    </w:p>
    <w:bookmarkStart w:id="20" w:name="网页中比较两种离子"/>
    <w:p>
      <w:pPr>
        <w:pStyle w:val="Heading2"/>
      </w:pPr>
      <w:r>
        <w:t xml:space="preserve">网页中比较两种离子</w:t>
      </w:r>
    </w:p>
    <w:p>
      <w:pPr>
        <w:numPr>
          <w:ilvl w:val="0"/>
          <w:numId w:val="1001"/>
        </w:numPr>
        <w:pStyle w:val="Compact"/>
      </w:pPr>
      <w:r>
        <w:t xml:space="preserve">打开 Lab 的回旋计算器，首次比较保留</w:t>
      </w:r>
      <w:r>
        <w:t xml:space="preserve"> </w:t>
      </w:r>
      <m:oMath>
        <m:r>
          <m:t>B</m:t>
        </m:r>
        <m:r>
          <m:rPr>
            <m:sty m:val="p"/>
          </m:rPr>
          <m:t>=</m:t>
        </m:r>
        <m:r>
          <m:t>7</m:t>
        </m:r>
      </m:oMath>
      <w:r>
        <w:t xml:space="preserve"> </w:t>
      </w:r>
      <w:r>
        <w:t xml:space="preserve">T。磁场不确定度留空表示未知；仅当明确将磁场视为固定量时才填写零。</w:t>
      </w:r>
    </w:p>
    <w:p>
      <w:pPr>
        <w:numPr>
          <w:ilvl w:val="0"/>
          <w:numId w:val="1001"/>
        </w:numPr>
        <w:pStyle w:val="Compact"/>
      </w:pPr>
      <w:r>
        <w:t xml:space="preserve">第一行输入</w:t>
      </w:r>
      <w:r>
        <w:t xml:space="preserve"> </w:t>
      </w:r>
      <w:r>
        <w:rPr>
          <w:rStyle w:val="VerbatimChar"/>
        </w:rPr>
        <w:t xml:space="preserve">133Cs</w:t>
      </w:r>
      <w:r>
        <w:t xml:space="preserve"> </w:t>
      </w:r>
      <w:r>
        <w:t xml:space="preserve">并选择评价质量，添加第二行</w:t>
      </w:r>
      <w:r>
        <w:t xml:space="preserve"> </w:t>
      </w:r>
      <w:r>
        <w:rPr>
          <w:rStyle w:val="VerbatimChar"/>
        </w:rPr>
        <w:t xml:space="preserve">85Rb</w:t>
      </w:r>
      <w:r>
        <w:t xml:space="preserve">。电荷留空时读取名称中的电荷或采用默认</w:t>
      </w:r>
      <w:r>
        <w:t xml:space="preserve"> </w:t>
      </w:r>
      <m:oMath>
        <m:r>
          <m:rPr>
            <m:sty m:val="p"/>
          </m:rPr>
          <m:t>+</m:t>
        </m:r>
        <m:r>
          <m:t>1</m:t>
        </m:r>
      </m:oMath>
      <w:r>
        <w:t xml:space="preserve">，也可显式填写一致的非零整数。</w:t>
      </w:r>
    </w:p>
    <w:p>
      <w:pPr>
        <w:numPr>
          <w:ilvl w:val="0"/>
          <w:numId w:val="1001"/>
        </w:numPr>
        <w:pStyle w:val="Compact"/>
      </w:pPr>
      <w:r>
        <w:t xml:space="preserve">为获得可重复的离线比较，选择保存的 AME2020 与 NUBASE2020，然后点击计算全部行。各行应显示 Hz 频率、电荷、离子质量，以及已知不确定度或明确的未知状态。7 T 下 Cs 频率约为 0.81 MHz；此值仅作量级检查，实际记录应使用计算结果的完整精度。</w:t>
      </w:r>
    </w:p>
    <w:p>
      <w:pPr>
        <w:numPr>
          <w:ilvl w:val="0"/>
          <w:numId w:val="1001"/>
        </w:numPr>
        <w:pStyle w:val="Compact"/>
      </w:pPr>
      <w:r>
        <w:t xml:space="preserve">展开每行来源，核对评价版本、核态标识、来源路径类型和质量不确定度。优先在线模式可明确回退到保存的 2020 版；仅在线模式在请求失败时报告错误。</w:t>
      </w:r>
    </w:p>
    <w:p>
      <w:pPr>
        <w:numPr>
          <w:ilvl w:val="0"/>
          <w:numId w:val="1001"/>
        </w:numPr>
        <w:pStyle w:val="Compact"/>
      </w:pPr>
      <w:r>
        <w:t xml:space="preserve">保存全部行 JSON 并下载结果 CSV。改变一行后，旧结果应被标为需要重新计算。重新加载 JSON，核对重新计算的结果与来源。文件位于浏览器设置指定的下载位置。</w:t>
      </w:r>
    </w:p>
    <w:p>
      <w:pPr>
        <w:pStyle w:val="FirstParagraph"/>
      </w:pPr>
      <w:r>
        <w:t xml:space="preserve">最多可添加十行，至少保留一行。字段修改会使受影响的结果失效；新输入会取消旧的异步填充。改变输入后，不能在重新计算前复制旧结果。</w:t>
      </w:r>
    </w:p>
    <w:bookmarkEnd w:id="20"/>
    <w:bookmarkStart w:id="21" w:name="粒子名称与手动质量"/>
    <w:p>
      <w:pPr>
        <w:pStyle w:val="Heading2"/>
      </w:pPr>
      <w:r>
        <w:t xml:space="preserve">粒子名称与手动质量</w:t>
      </w:r>
    </w:p>
    <w:p>
      <w:pPr>
        <w:pStyle w:val="FirstParagraph"/>
      </w:pPr>
      <w:r>
        <w:t xml:space="preserve">支持示例包括</w:t>
      </w:r>
      <w:r>
        <w:t xml:space="preserve"> </w:t>
      </w:r>
      <w:r>
        <w:rPr>
          <w:rStyle w:val="VerbatimChar"/>
        </w:rPr>
        <w:t xml:space="preserve">133Cs</w:t>
      </w:r>
      <w:r>
        <w:t xml:space="preserve">、</w:t>
      </w:r>
      <w:r>
        <w:rPr>
          <w:rStyle w:val="VerbatimChar"/>
        </w:rPr>
        <w:t xml:space="preserve">Cs-133</w:t>
      </w:r>
      <w:r>
        <w:t xml:space="preserve">、</w:t>
      </w:r>
      <w:r>
        <w:rPr>
          <w:rStyle w:val="VerbatimChar"/>
        </w:rPr>
        <w:t xml:space="preserve">cesium-133</w:t>
      </w:r>
      <w:r>
        <w:t xml:space="preserve">、</w:t>
      </w:r>
      <w:r>
        <w:rPr>
          <w:rStyle w:val="VerbatimChar"/>
        </w:rPr>
        <w:t xml:space="preserve">133Xe[m1]</w:t>
      </w:r>
      <w:r>
        <w:t xml:space="preserve">、</w:t>
      </w:r>
      <w:r>
        <w:rPr>
          <w:rStyle w:val="VerbatimChar"/>
        </w:rPr>
        <w:t xml:space="preserve">12C:16O*2</w:t>
      </w:r>
      <w:r>
        <w:t xml:space="preserve"> </w:t>
      </w:r>
      <w:r>
        <w:t xml:space="preserve">与</w:t>
      </w:r>
      <w:r>
        <w:t xml:space="preserve"> </w:t>
      </w:r>
      <w:r>
        <w:rPr>
          <w:rStyle w:val="VerbatimChar"/>
        </w:rPr>
        <w:t xml:space="preserve">[133Cs+1H]+</w:t>
      </w:r>
      <w:r>
        <w:t xml:space="preserve">。分子每个组分都必须指定同位素。单独的</w:t>
      </w:r>
      <w:r>
        <w:t xml:space="preserve"> </w:t>
      </w:r>
      <w:r>
        <w:rPr>
          <w:rStyle w:val="VerbatimChar"/>
        </w:rPr>
        <w:t xml:space="preserve">Cs</w:t>
      </w:r>
      <w:r>
        <w:t xml:space="preserve">、</w:t>
      </w:r>
      <w:r>
        <w:rPr>
          <w:rStyle w:val="VerbatimChar"/>
        </w:rPr>
        <w:t xml:space="preserve">H2O</w:t>
      </w:r>
      <w:r>
        <w:t xml:space="preserve">、未收录核态和电荷冲突会被拒绝。末尾数字可能同时表示数量或电荷时，应使用带括号的明确电荷或电荷字段。</w:t>
      </w:r>
    </w:p>
    <w:p>
      <w:pPr>
        <w:pStyle w:val="BodyText"/>
      </w:pPr>
      <w:r>
        <w:t xml:space="preserve">手动输入时取消评价质量，填写质量与可选不确定度，并明确选择中性原子或组分质量之和，或已经校正的离子质量。单位为 u 或 keV/</w:t>
      </w:r>
      <m:oMath>
        <m:sSup>
          <m:e>
            <m:r>
              <m:t>c</m:t>
            </m:r>
          </m:e>
          <m:sup>
            <m:r>
              <m:t>2</m:t>
            </m:r>
          </m:sup>
        </m:sSup>
      </m:oMath>
      <w:r>
        <w:t xml:space="preserve">。keV/</w:t>
      </w:r>
      <m:oMath>
        <m:sSup>
          <m:e>
            <m:r>
              <m:t>c</m:t>
            </m:r>
          </m:e>
          <m:sup>
            <m:r>
              <m:t>2</m:t>
            </m:r>
          </m:sup>
        </m:sSup>
      </m:oMath>
      <w:r>
        <w:t xml:space="preserve"> </w:t>
      </w:r>
      <w:r>
        <w:t xml:space="preserve">字段是完整质量，不是质量过剩。切换单位会同时转换质量与已知误差。编辑自动填充的质量会清除原评价误差并切换到手动输入，防止新数值沿用旧误差。</w:t>
      </w:r>
    </w:p>
    <w:p>
      <w:pPr>
        <w:pStyle w:val="BodyText"/>
      </w:pPr>
      <w:r>
        <w:t xml:space="preserve">电荷数须为 −100 到 100 的非零整数，磁场与校正后离子质量必须为正。界面频率为绝对值，导出数据另保留有符号频率。</w:t>
      </w:r>
    </w:p>
    <w:bookmarkEnd w:id="21"/>
    <w:bookmarkStart w:id="22" w:name="方程与单位"/>
    <w:p>
      <w:pPr>
        <w:pStyle w:val="Heading2"/>
      </w:pPr>
      <w:r>
        <w:t xml:space="preserve">方程与单位</w:t>
      </w:r>
    </w:p>
    <w:p>
      <w:pPr>
        <w:pStyle w:val="FirstParagraph"/>
      </w:pPr>
      <w:r>
        <w:t xml:space="preserve">设</w:t>
      </w:r>
      <w:r>
        <w:t xml:space="preserve"> </w:t>
      </w:r>
      <m:oMath>
        <m:r>
          <m:t>M</m:t>
        </m:r>
      </m:oMath>
      <w:r>
        <w:t xml:space="preserve">、</w:t>
      </w:r>
      <m:oMath>
        <m:sSub>
          <m:e>
            <m:r>
              <m:t>m</m:t>
            </m:r>
          </m:e>
          <m:sub>
            <m:r>
              <m:t>e</m:t>
            </m:r>
          </m:sub>
        </m:sSub>
      </m:oMath>
      <w:r>
        <w:t xml:space="preserve"> </w:t>
      </w:r>
      <w:r>
        <w:t xml:space="preserve">为以 u 表示的质量数值，</w:t>
      </w:r>
      <m:oMath>
        <m:r>
          <m:t>u</m:t>
        </m:r>
      </m:oMath>
      <w:r>
        <w:t xml:space="preserve"> </w:t>
      </w:r>
      <w:r>
        <w:t xml:space="preserve">为以 kg 表示的原子质量常数。根据输入约定，</w:t>
      </w:r>
    </w:p>
    <w:p>
      <w:pPr>
        <w:pStyle w:val="BodyText"/>
      </w:pPr>
      <m:oMathPara>
        <m:oMathParaPr>
          <m:jc m:val="center"/>
        </m:oMathParaPr>
        <m:oMath>
          <m:sSub>
            <m:e>
              <m:r>
                <m:t>m</m:t>
              </m:r>
            </m:e>
            <m:sub>
              <m:r>
                <m:rPr>
                  <m:sty m:val="p"/>
                </m:rPr>
                <m:t>i</m:t>
              </m:r>
              <m:r>
                <m:rPr>
                  <m:sty m:val="p"/>
                </m:rPr>
                <m:t>o</m:t>
              </m:r>
              <m:r>
                <m:rPr>
                  <m:sty m:val="p"/>
                </m:rPr>
                <m:t>n</m:t>
              </m:r>
            </m:sub>
          </m:sSub>
          <m:r>
            <m:rPr>
              <m:sty m:val="p"/>
            </m:rPr>
            <m:t>=</m:t>
          </m:r>
          <m:r>
            <m:t>M</m:t>
          </m:r>
          <m:r>
            <m:rPr>
              <m:sty m:val="p"/>
            </m:rPr>
            <m:t>−</m:t>
          </m:r>
          <m:r>
            <m:t>q</m:t>
          </m:r>
          <m:sSub>
            <m:e>
              <m:r>
                <m:t>m</m:t>
              </m:r>
            </m:e>
            <m:sub>
              <m:r>
                <m:t>e</m:t>
              </m:r>
            </m:sub>
          </m:sSub>
          <m:r>
            <m:t> </m:t>
          </m:r>
          <m:r>
            <m:rPr>
              <m:nor/>
              <m:sty m:val="p"/>
            </m:rPr>
            <m:t>中性质量输入</m:t>
          </m:r>
          <m:r>
            <m:rPr>
              <m:sty m:val="p"/>
            </m:rPr>
            <m:t>,</m:t>
          </m:r>
        </m:oMath>
      </m:oMathPara>
    </w:p>
    <w:p>
      <w:pPr>
        <w:pStyle w:val="FirstParagraph"/>
      </w:pPr>
      <m:oMathPara>
        <m:oMathParaPr>
          <m:jc m:val="center"/>
        </m:oMathParaPr>
        <m:oMath>
          <m:sSub>
            <m:e>
              <m:r>
                <m:t>m</m:t>
              </m:r>
            </m:e>
            <m:sub>
              <m:r>
                <m:rPr>
                  <m:sty m:val="p"/>
                </m:rPr>
                <m:t>i</m:t>
              </m:r>
              <m:r>
                <m:rPr>
                  <m:sty m:val="p"/>
                </m:rPr>
                <m:t>o</m:t>
              </m:r>
              <m:r>
                <m:rPr>
                  <m:sty m:val="p"/>
                </m:rPr>
                <m:t>n</m:t>
              </m:r>
            </m:sub>
          </m:sSub>
          <m:r>
            <m:rPr>
              <m:sty m:val="p"/>
            </m:rPr>
            <m:t>=</m:t>
          </m:r>
          <m:r>
            <m:t>M</m:t>
          </m:r>
          <m:r>
            <m:t> </m:t>
          </m:r>
          <m:r>
            <m:rPr>
              <m:nor/>
              <m:sty m:val="p"/>
            </m:rPr>
            <m:t>已校正离子质量输入</m:t>
          </m:r>
          <m:r>
            <m:rPr>
              <m:sty m:val="p"/>
            </m:rPr>
            <m:t>.</m:t>
          </m:r>
        </m:oMath>
      </m:oMathPara>
    </w:p>
    <w:p>
      <w:pPr>
        <w:pStyle w:val="FirstParagraph"/>
      </w:pPr>
      <w:r>
        <w:t xml:space="preserve">正离子扣除电子质量，负离子增加电子质量；模型省略电离能、电子亲和能和分子结合能。已经校正的离子质量不会重复扣除电子。</w:t>
      </w:r>
    </w:p>
    <w:p>
      <w:pPr>
        <w:pStyle w:val="BodyText"/>
      </w:pPr>
      <m:oMathPara>
        <m:oMathParaPr>
          <m:jc m:val="center"/>
        </m:oMathParaPr>
        <m:oMath>
          <m:sSub>
            <m:e>
              <m:r>
                <m:t>ν</m:t>
              </m:r>
            </m:e>
            <m:sub>
              <m:r>
                <m:t>c</m:t>
              </m:r>
            </m:sub>
          </m:sSub>
          <m:r>
            <m:rPr>
              <m:sty m:val="p"/>
            </m:rPr>
            <m:t>=</m:t>
          </m:r>
          <m:f>
            <m:fPr>
              <m:type m:val="bar"/>
            </m:fPr>
            <m:num>
              <m:d>
                <m:dPr>
                  <m:begChr m:val="|"/>
                  <m:endChr m:val="|"/>
                  <m:sepChr m:val=""/>
                  <m:grow/>
                </m:dPr>
                <m:e>
                  <m:r>
                    <m:t>q</m:t>
                  </m:r>
                </m:e>
              </m:d>
              <m:r>
                <m:t>e</m:t>
              </m:r>
              <m:r>
                <m:t>B</m:t>
              </m:r>
            </m:num>
            <m:den>
              <m:r>
                <m:t>2</m:t>
              </m:r>
              <m:r>
                <m:t>π</m:t>
              </m:r>
              <m:sSub>
                <m:e>
                  <m:r>
                    <m:t>m</m:t>
                  </m:r>
                </m:e>
                <m:sub>
                  <m:r>
                    <m:rPr>
                      <m:sty m:val="p"/>
                    </m:rPr>
                    <m:t>i</m:t>
                  </m:r>
                  <m:r>
                    <m:rPr>
                      <m:sty m:val="p"/>
                    </m:rPr>
                    <m:t>o</m:t>
                  </m:r>
                  <m:r>
                    <m:rPr>
                      <m:sty m:val="p"/>
                    </m:rPr>
                    <m:t>n</m:t>
                  </m:r>
                </m:sub>
              </m:sSub>
              <m:r>
                <m:t>u</m:t>
              </m:r>
            </m:den>
          </m:f>
          <m:r>
            <m:rPr>
              <m:sty m:val="p"/>
            </m:rPr>
            <m:t>,</m:t>
          </m:r>
          <m:r>
            <m:t>  </m:t>
          </m:r>
          <m:sSub>
            <m:e>
              <m:r>
                <m:t>ν</m:t>
              </m:r>
            </m:e>
            <m:sub>
              <m:r>
                <m:rPr>
                  <m:sty m:val="p"/>
                </m:rPr>
                <m:t>s</m:t>
              </m:r>
              <m:r>
                <m:rPr>
                  <m:sty m:val="p"/>
                </m:rPr>
                <m:t>i</m:t>
              </m:r>
              <m:r>
                <m:rPr>
                  <m:sty m:val="p"/>
                </m:rPr>
                <m:t>g</m:t>
              </m:r>
              <m:r>
                <m:rPr>
                  <m:sty m:val="p"/>
                </m:rPr>
                <m:t>n</m:t>
              </m:r>
              <m:r>
                <m:rPr>
                  <m:sty m:val="p"/>
                </m:rPr>
                <m:t>e</m:t>
              </m:r>
              <m:r>
                <m:rPr>
                  <m:sty m:val="p"/>
                </m:rPr>
                <m:t>d</m:t>
              </m:r>
            </m:sub>
          </m:sSub>
          <m:r>
            <m:rPr>
              <m:sty m:val="p"/>
            </m:rPr>
            <m:t>=</m:t>
          </m:r>
          <m:f>
            <m:fPr>
              <m:type m:val="bar"/>
            </m:fPr>
            <m:num>
              <m:r>
                <m:t>q</m:t>
              </m:r>
              <m:r>
                <m:t>e</m:t>
              </m:r>
              <m:r>
                <m:t>B</m:t>
              </m:r>
            </m:num>
            <m:den>
              <m:r>
                <m:t>2</m:t>
              </m:r>
              <m:r>
                <m:t>π</m:t>
              </m:r>
              <m:sSub>
                <m:e>
                  <m:r>
                    <m:t>m</m:t>
                  </m:r>
                </m:e>
                <m:sub>
                  <m:r>
                    <m:rPr>
                      <m:sty m:val="p"/>
                    </m:rPr>
                    <m:t>i</m:t>
                  </m:r>
                  <m:r>
                    <m:rPr>
                      <m:sty m:val="p"/>
                    </m:rPr>
                    <m:t>o</m:t>
                  </m:r>
                  <m:r>
                    <m:rPr>
                      <m:sty m:val="p"/>
                    </m:rPr>
                    <m:t>n</m:t>
                  </m:r>
                </m:sub>
              </m:sSub>
              <m:r>
                <m:t>u</m:t>
              </m:r>
            </m:den>
          </m:f>
          <m:r>
            <m:rPr>
              <m:sty m:val="p"/>
            </m:rPr>
            <m:t>.</m:t>
          </m:r>
        </m:oMath>
      </m:oMathPara>
    </w:p>
    <w:p>
      <w:pPr>
        <w:pStyle w:val="FirstParagraph"/>
      </w:pPr>
      <m:oMath>
        <m:r>
          <m:t>B</m:t>
        </m:r>
      </m:oMath>
      <w:r>
        <w:t xml:space="preserve"> </w:t>
      </w:r>
      <w:r>
        <w:t xml:space="preserve">使用 T，频率输出 Hz。实现保留的质量能量转换为</w:t>
      </w:r>
    </w:p>
    <w:p>
      <w:pPr>
        <w:pStyle w:val="BodyText"/>
      </w:pPr>
      <m:oMathPara>
        <m:oMathParaPr>
          <m:jc m:val="center"/>
        </m:oMathParaPr>
        <m:oMath>
          <m:sSub>
            <m:e>
              <m:r>
                <m:t>C</m:t>
              </m:r>
            </m:e>
            <m:sub>
              <m:r>
                <m:t>u</m:t>
              </m:r>
            </m:sub>
          </m:sSub>
          <m:r>
            <m:rPr>
              <m:sty m:val="p"/>
            </m:rPr>
            <m:t>=</m:t>
          </m:r>
          <m:r>
            <m:t>u</m:t>
          </m:r>
          <m:sSup>
            <m:e>
              <m:r>
                <m:t>c</m:t>
              </m:r>
            </m:e>
            <m:sup>
              <m:r>
                <m:t>2</m:t>
              </m:r>
            </m:sup>
          </m:sSup>
          <m:r>
            <m:rPr>
              <m:sty m:val="p"/>
            </m:rPr>
            <m:t>=</m:t>
          </m:r>
          <m:r>
            <m:t>931494.10242</m:t>
          </m:r>
          <m:r>
            <m:t> </m:t>
          </m:r>
          <m:r>
            <m:rPr>
              <m:sty m:val="p"/>
            </m:rPr>
            <m:t>k</m:t>
          </m:r>
          <m:r>
            <m:rPr>
              <m:sty m:val="p"/>
            </m:rPr>
            <m:t>e</m:t>
          </m:r>
          <m:r>
            <m:rPr>
              <m:sty m:val="p"/>
            </m:rPr>
            <m:t>V</m:t>
          </m:r>
          <m:r>
            <m:rPr>
              <m:sty m:val="p"/>
            </m:rPr>
            <m:t>,</m:t>
          </m:r>
        </m:oMath>
      </m:oMathPara>
    </w:p>
    <w:p>
      <w:pPr>
        <w:pStyle w:val="FirstParagraph"/>
      </w:pPr>
      <m:oMathPara>
        <m:oMathParaPr>
          <m:jc m:val="center"/>
        </m:oMathParaPr>
        <m:oMath>
          <m:r>
            <m:t>M</m:t>
          </m:r>
          <m:r>
            <m:rPr>
              <m:sty m:val="p"/>
            </m:rPr>
            <m:t>=</m:t>
          </m:r>
          <m:f>
            <m:fPr>
              <m:type m:val="bar"/>
            </m:fPr>
            <m:num>
              <m:sSub>
                <m:e>
                  <m:r>
                    <m:t>E</m:t>
                  </m:r>
                </m:e>
                <m:sub>
                  <m:r>
                    <m:rPr>
                      <m:sty m:val="p"/>
                    </m:rPr>
                    <m:t>m</m:t>
                  </m:r>
                  <m:r>
                    <m:rPr>
                      <m:sty m:val="p"/>
                    </m:rPr>
                    <m:t>a</m:t>
                  </m:r>
                  <m:r>
                    <m:rPr>
                      <m:sty m:val="p"/>
                    </m:rPr>
                    <m:t>s</m:t>
                  </m:r>
                  <m:r>
                    <m:rPr>
                      <m:sty m:val="p"/>
                    </m:rPr>
                    <m:t>s</m:t>
                  </m:r>
                </m:sub>
              </m:sSub>
            </m:num>
            <m:den>
              <m:sSub>
                <m:e>
                  <m:r>
                    <m:t>C</m:t>
                  </m:r>
                </m:e>
                <m:sub>
                  <m:r>
                    <m:t>u</m:t>
                  </m:r>
                </m:sub>
              </m:sSub>
            </m:den>
          </m:f>
          <m:r>
            <m:rPr>
              <m:sty m:val="p"/>
            </m:rPr>
            <m:t>,</m:t>
          </m:r>
          <m:r>
            <m:t>  </m:t>
          </m:r>
          <m:r>
            <m:t>M</m:t>
          </m:r>
          <m:r>
            <m:rPr>
              <m:sty m:val="p"/>
            </m:rPr>
            <m:t>=</m:t>
          </m:r>
          <m:r>
            <m:t>A</m:t>
          </m:r>
          <m:r>
            <m:rPr>
              <m:sty m:val="p"/>
            </m:rPr>
            <m:t>+</m:t>
          </m:r>
          <m:f>
            <m:fPr>
              <m:type m:val="bar"/>
            </m:fPr>
            <m:num>
              <m:r>
                <m:t>M</m:t>
              </m:r>
              <m:r>
                <m:t>E</m:t>
              </m:r>
            </m:num>
            <m:den>
              <m:sSub>
                <m:e>
                  <m:r>
                    <m:t>C</m:t>
                  </m:r>
                </m:e>
                <m:sub>
                  <m:r>
                    <m:t>u</m:t>
                  </m:r>
                </m:sub>
              </m:sSub>
            </m:den>
          </m:f>
          <m:r>
            <m:rPr>
              <m:sty m:val="p"/>
            </m:rPr>
            <m:t>.</m:t>
          </m:r>
        </m:oMath>
      </m:oMathPara>
    </w:p>
    <w:p>
      <w:pPr>
        <w:pStyle w:val="FirstParagraph"/>
      </w:pPr>
      <w:r>
        <w:t xml:space="preserve">前式转换以 keV/</w:t>
      </w:r>
      <m:oMath>
        <m:sSup>
          <m:e>
            <m:r>
              <m:t>c</m:t>
            </m:r>
          </m:e>
          <m:sup>
            <m:r>
              <m:t>2</m:t>
            </m:r>
          </m:sup>
        </m:sSup>
      </m:oMath>
      <w:r>
        <w:t xml:space="preserve"> </w:t>
      </w:r>
      <w:r>
        <w:t xml:space="preserve">输入的完整质量；后式说明评价原子质量过剩</w:t>
      </w:r>
      <w:r>
        <w:t xml:space="preserve"> </w:t>
      </w:r>
      <m:oMath>
        <m:r>
          <m:t>M</m:t>
        </m:r>
        <m:r>
          <m:t>E</m:t>
        </m:r>
      </m:oMath>
      <w:r>
        <w:t xml:space="preserve"> </w:t>
      </w:r>
      <w:r>
        <w:t xml:space="preserve">的转换。二者是不同的输入，不能混用。</w:t>
      </w:r>
    </w:p>
    <w:bookmarkEnd w:id="22"/>
    <w:bookmarkStart w:id="23" w:name="不确定度与关联"/>
    <w:p>
      <w:pPr>
        <w:pStyle w:val="Heading2"/>
      </w:pPr>
      <w:r>
        <w:t xml:space="preserve">不确定度与关联</w:t>
      </w:r>
    </w:p>
    <w:p>
      <w:pPr>
        <w:pStyle w:val="FirstParagraph"/>
      </w:pPr>
      <w:r>
        <w:t xml:space="preserve">质量和磁场误差均已知时，单行边际误差为</w:t>
      </w:r>
    </w:p>
    <w:p>
      <w:pPr>
        <w:pStyle w:val="BodyText"/>
      </w:pPr>
      <m:oMathPara>
        <m:oMathParaPr>
          <m:jc m:val="center"/>
        </m:oMathParaPr>
        <m:oMath>
          <m:sSub>
            <m:e>
              <m:r>
                <m:t>σ</m:t>
              </m:r>
            </m:e>
            <m:sub>
              <m:r>
                <m:t>ν</m:t>
              </m:r>
            </m:sub>
          </m:sSub>
          <m:r>
            <m:rPr>
              <m:sty m:val="p"/>
            </m:rPr>
            <m:t>=</m:t>
          </m:r>
          <m:sSub>
            <m:e>
              <m:r>
                <m:t>ν</m:t>
              </m:r>
            </m:e>
            <m:sub>
              <m:r>
                <m:t>c</m:t>
              </m:r>
            </m:sub>
          </m:sSub>
          <m:rad>
            <m:radPr>
              <m:degHide m:val="1"/>
            </m:radPr>
            <m:deg/>
            <m:e>
              <m:sSup>
                <m:e>
                  <m:d>
                    <m:dPr>
                      <m:begChr m:val="("/>
                      <m:endChr m:val=")"/>
                      <m:sepChr m:val=""/>
                      <m:grow/>
                    </m:dPr>
                    <m:e>
                      <m:f>
                        <m:fPr>
                          <m:type m:val="bar"/>
                        </m:fPr>
                        <m:num>
                          <m:sSub>
                            <m:e>
                              <m:r>
                                <m:t>σ</m:t>
                              </m:r>
                            </m:e>
                            <m:sub>
                              <m:r>
                                <m:t>B</m:t>
                              </m:r>
                            </m:sub>
                          </m:sSub>
                        </m:num>
                        <m:den>
                          <m:r>
                            <m:t>B</m:t>
                          </m:r>
                        </m:den>
                      </m:f>
                    </m:e>
                  </m:d>
                </m:e>
                <m:sup>
                  <m:r>
                    <m:t>2</m:t>
                  </m:r>
                </m:sup>
              </m:sSup>
              <m:r>
                <m:rPr>
                  <m:sty m:val="p"/>
                </m:rPr>
                <m:t>+</m:t>
              </m:r>
              <m:sSup>
                <m:e>
                  <m:d>
                    <m:dPr>
                      <m:begChr m:val="("/>
                      <m:endChr m:val=")"/>
                      <m:sepChr m:val=""/>
                      <m:grow/>
                    </m:dPr>
                    <m:e>
                      <m:f>
                        <m:fPr>
                          <m:type m:val="bar"/>
                        </m:fPr>
                        <m:num>
                          <m:sSub>
                            <m:e>
                              <m:r>
                                <m:t>σ</m:t>
                              </m:r>
                            </m:e>
                            <m:sub>
                              <m:r>
                                <m:t>M</m:t>
                              </m:r>
                            </m:sub>
                          </m:sSub>
                        </m:num>
                        <m:den>
                          <m:sSub>
                            <m:e>
                              <m:r>
                                <m:t>m</m:t>
                              </m:r>
                            </m:e>
                            <m:sub>
                              <m:r>
                                <m:rPr>
                                  <m:sty m:val="p"/>
                                </m:rPr>
                                <m:t>i</m:t>
                              </m:r>
                              <m:r>
                                <m:rPr>
                                  <m:sty m:val="p"/>
                                </m:rPr>
                                <m:t>o</m:t>
                              </m:r>
                              <m:r>
                                <m:rPr>
                                  <m:sty m:val="p"/>
                                </m:rPr>
                                <m:t>n</m:t>
                              </m:r>
                            </m:sub>
                          </m:sSub>
                        </m:den>
                      </m:f>
                    </m:e>
                  </m:d>
                </m:e>
                <m:sup>
                  <m:r>
                    <m:t>2</m:t>
                  </m:r>
                </m:sup>
              </m:sSup>
            </m:e>
          </m:rad>
          <m:r>
            <m:rPr>
              <m:sty m:val="p"/>
            </m:rPr>
            <m:t>.</m:t>
          </m:r>
        </m:oMath>
      </m:oMathPara>
    </w:p>
    <w:p>
      <w:pPr>
        <w:pStyle w:val="FirstParagraph"/>
      </w:pPr>
      <w:r>
        <w:t xml:space="preserve">常数视为固定。空白误差表示未知，数值零表示已知的固定输入。任一必需误差未知时，频率误差保持未知。分子中重复的同位素先合并原始变量系数，再传播：</w:t>
      </w:r>
    </w:p>
    <w:p>
      <w:pPr>
        <w:pStyle w:val="BodyText"/>
      </w:pPr>
      <m:oMathPara>
        <m:oMathParaPr>
          <m:jc m:val="center"/>
        </m:oMathParaPr>
        <m:oMath>
          <m:sSub>
            <m:e>
              <m:r>
                <m:t>M</m:t>
              </m:r>
            </m:e>
            <m:sub>
              <m:r>
                <m:rPr>
                  <m:sty m:val="p"/>
                </m:rPr>
                <m:t>s</m:t>
              </m:r>
              <m:r>
                <m:rPr>
                  <m:sty m:val="p"/>
                </m:rPr>
                <m:t>u</m:t>
              </m:r>
              <m:r>
                <m:rPr>
                  <m:sty m:val="p"/>
                </m:rPr>
                <m:t>m</m:t>
              </m:r>
            </m:sub>
          </m:sSub>
          <m:r>
            <m:rPr>
              <m:sty m:val="p"/>
            </m:rPr>
            <m:t>=</m:t>
          </m:r>
          <m:nary>
            <m:naryPr>
              <m:chr m:val="∑"/>
              <m:limLoc m:val="undOvr"/>
              <m:subHide m:val="0"/>
              <m:supHide m:val="1"/>
            </m:naryPr>
            <m:sub>
              <m:r>
                <m:t>i</m:t>
              </m:r>
            </m:sub>
            <m:sup>
              <m:r>
                <m:t>​</m:t>
              </m:r>
            </m:sup>
            <m:e>
              <m:sSub>
                <m:e>
                  <m:r>
                    <m:t>n</m:t>
                  </m:r>
                </m:e>
                <m:sub>
                  <m:r>
                    <m:t>i</m:t>
                  </m:r>
                </m:sub>
              </m:sSub>
            </m:e>
          </m:nary>
          <m:sSub>
            <m:e>
              <m:r>
                <m:t>M</m:t>
              </m:r>
            </m:e>
            <m:sub>
              <m:r>
                <m:t>i</m:t>
              </m:r>
            </m:sub>
          </m:sSub>
          <m:r>
            <m:rPr>
              <m:sty m:val="p"/>
            </m:rPr>
            <m:t>,</m:t>
          </m:r>
          <m:r>
            <m:t>  </m:t>
          </m:r>
          <m:sSubSup>
            <m:e>
              <m:r>
                <m:t>σ</m:t>
              </m:r>
            </m:e>
            <m:sub>
              <m:sSub>
                <m:e>
                  <m:r>
                    <m:t>M</m:t>
                  </m:r>
                </m:e>
                <m:sub>
                  <m:r>
                    <m:rPr>
                      <m:sty m:val="p"/>
                    </m:rPr>
                    <m:t>s</m:t>
                  </m:r>
                  <m:r>
                    <m:rPr>
                      <m:sty m:val="p"/>
                    </m:rPr>
                    <m:t>u</m:t>
                  </m:r>
                  <m:r>
                    <m:rPr>
                      <m:sty m:val="p"/>
                    </m:rPr>
                    <m:t>m</m:t>
                  </m:r>
                </m:sub>
              </m:sSub>
            </m:sub>
            <m:sup>
              <m:r>
                <m:t>2</m:t>
              </m:r>
            </m:sup>
          </m:sSubSup>
          <m:r>
            <m:rPr>
              <m:sty m:val="p"/>
            </m:rPr>
            <m:t>=</m:t>
          </m:r>
          <m:nary>
            <m:naryPr>
              <m:chr m:val="∑"/>
              <m:limLoc m:val="undOvr"/>
              <m:subHide m:val="0"/>
              <m:supHide m:val="1"/>
            </m:naryPr>
            <m:sub>
              <m:r>
                <m:t>i</m:t>
              </m:r>
            </m:sub>
            <m:sup>
              <m:r>
                <m:t>​</m:t>
              </m:r>
            </m:sup>
            <m:e>
              <m:sSubSup>
                <m:e>
                  <m:r>
                    <m:t>n</m:t>
                  </m:r>
                </m:e>
                <m:sub>
                  <m:r>
                    <m:t>i</m:t>
                  </m:r>
                </m:sub>
                <m:sup>
                  <m:r>
                    <m:t>2</m:t>
                  </m:r>
                </m:sup>
              </m:sSubSup>
            </m:e>
          </m:nary>
          <m:sSubSup>
            <m:e>
              <m:r>
                <m:t>σ</m:t>
              </m:r>
            </m:e>
            <m:sub>
              <m:sSub>
                <m:e>
                  <m:r>
                    <m:t>M</m:t>
                  </m:r>
                </m:e>
                <m:sub>
                  <m:r>
                    <m:t>i</m:t>
                  </m:r>
                </m:sub>
              </m:sSub>
            </m:sub>
            <m:sup>
              <m:r>
                <m:t>2</m:t>
              </m:r>
            </m:sup>
          </m:sSubSup>
          <m:r>
            <m:rPr>
              <m:sty m:val="p"/>
            </m:rPr>
            <m:t>.</m:t>
          </m:r>
        </m:oMath>
      </m:oMathPara>
    </w:p>
    <w:p>
      <w:pPr>
        <w:pStyle w:val="FirstParagraph"/>
      </w:pPr>
      <w:r>
        <w:t xml:space="preserve">这采用原始变量对角协方差，不是完整 AME 协方差。所有行共享磁场，其协方差贡献为</w:t>
      </w:r>
    </w:p>
    <w:p>
      <w:pPr>
        <w:pStyle w:val="BodyText"/>
      </w:pPr>
      <m:oMathPara>
        <m:oMathParaPr>
          <m:jc m:val="center"/>
        </m:oMathParaPr>
        <m:oMath>
          <m:sSub>
            <m:e>
              <m:r>
                <m:rPr>
                  <m:sty m:val="p"/>
                </m:rPr>
                <m:t>Cov</m:t>
              </m:r>
            </m:e>
            <m:sub>
              <m:r>
                <m:t>B</m:t>
              </m:r>
            </m:sub>
          </m:sSub>
          <m:d>
            <m:dPr>
              <m:begChr m:val="("/>
              <m:endChr m:val=")"/>
              <m:sepChr m:val=""/>
              <m:grow/>
            </m:dPr>
            <m:e>
              <m:sSub>
                <m:e>
                  <m:r>
                    <m:t>ν</m:t>
                  </m:r>
                </m:e>
                <m:sub>
                  <m:r>
                    <m:t>j</m:t>
                  </m:r>
                </m:sub>
              </m:sSub>
              <m:r>
                <m:rPr>
                  <m:sty m:val="p"/>
                </m:rPr>
                <m:t>,</m:t>
              </m:r>
              <m:sSub>
                <m:e>
                  <m:r>
                    <m:t>ν</m:t>
                  </m:r>
                </m:e>
                <m:sub>
                  <m:r>
                    <m:t>k</m:t>
                  </m:r>
                </m:sub>
              </m:sSub>
            </m:e>
          </m:d>
          <m:r>
            <m:rPr>
              <m:sty m:val="p"/>
            </m:rPr>
            <m:t>=</m:t>
          </m:r>
          <m:f>
            <m:fPr>
              <m:type m:val="bar"/>
            </m:fPr>
            <m:num>
              <m:sSub>
                <m:e>
                  <m:r>
                    <m:t>ν</m:t>
                  </m:r>
                </m:e>
                <m:sub>
                  <m:r>
                    <m:t>j</m:t>
                  </m:r>
                </m:sub>
              </m:sSub>
              <m:sSub>
                <m:e>
                  <m:r>
                    <m:t>ν</m:t>
                  </m:r>
                </m:e>
                <m:sub>
                  <m:r>
                    <m:t>k</m:t>
                  </m:r>
                </m:sub>
              </m:sSub>
            </m:num>
            <m:den>
              <m:sSup>
                <m:e>
                  <m:r>
                    <m:t>B</m:t>
                  </m:r>
                </m:e>
                <m:sup>
                  <m:r>
                    <m:t>2</m:t>
                  </m:r>
                </m:sup>
              </m:sSup>
            </m:den>
          </m:f>
          <m:sSubSup>
            <m:e>
              <m:r>
                <m:t>σ</m:t>
              </m:r>
            </m:e>
            <m:sub>
              <m:r>
                <m:t>B</m:t>
              </m:r>
            </m:sub>
            <m:sup>
              <m:r>
                <m:t>2</m:t>
              </m:r>
            </m:sup>
          </m:sSubSup>
          <m:r>
            <m:rPr>
              <m:sty m:val="p"/>
            </m:rPr>
            <m:t>.</m:t>
          </m:r>
        </m:oMath>
      </m:oMathPara>
    </w:p>
    <w:p>
      <w:pPr>
        <w:pStyle w:val="FirstParagraph"/>
      </w:pPr>
      <w:r>
        <w:t xml:space="preserve">共享同位素还会产生行间关联。本工具提供单行边际结果，不执行联合频率比拟合，也不支持将所有行自动当作相互独立。</w:t>
      </w:r>
    </w:p>
    <w:bookmarkEnd w:id="23"/>
    <w:bookmarkStart w:id="24" w:name="来源与网页本地差异"/>
    <w:p>
      <w:pPr>
        <w:pStyle w:val="Heading2"/>
      </w:pPr>
      <w:r>
        <w:t xml:space="preserve">来源与网页本地差异</w:t>
      </w:r>
    </w:p>
    <w:p>
      <w:pPr>
        <w:pStyle w:val="FirstParagraph"/>
      </w:pPr>
      <w:r>
        <w:t xml:space="preserve">保存的基态质量来自 AME2020，精确核态标识与激发信息来自 NUBASE2020。网页采用</w:t>
      </w:r>
    </w:p>
    <w:p>
      <w:pPr>
        <w:pStyle w:val="BodyText"/>
      </w:pPr>
      <m:oMathPara>
        <m:oMathParaPr>
          <m:jc m:val="center"/>
        </m:oMathParaPr>
        <m:oMath>
          <m:sSup>
            <m:e>
              <m:r>
                <m:t>M</m:t>
              </m:r>
            </m:e>
            <m:sup>
              <m:r>
                <m:rPr>
                  <m:sty m:val="p"/>
                </m:rPr>
                <m:t>*</m:t>
              </m:r>
            </m:sup>
          </m:sSup>
          <m:r>
            <m:rPr>
              <m:sty m:val="p"/>
            </m:rPr>
            <m:t>=</m:t>
          </m:r>
          <m:sSub>
            <m:e>
              <m:r>
                <m:t>M</m:t>
              </m:r>
            </m:e>
            <m:sub>
              <m:r>
                <m:t>g</m:t>
              </m:r>
              <m:r>
                <m:rPr>
                  <m:sty m:val="p"/>
                </m:rPr>
                <m:t>,</m:t>
              </m:r>
              <m:r>
                <m:rPr>
                  <m:sty m:val="p"/>
                </m:rPr>
                <m:t>A</m:t>
              </m:r>
              <m:r>
                <m:rPr>
                  <m:sty m:val="p"/>
                </m:rPr>
                <m:t>M</m:t>
              </m:r>
              <m:r>
                <m:rPr>
                  <m:sty m:val="p"/>
                </m:rPr>
                <m:t>E</m:t>
              </m:r>
              <m:r>
                <m:rPr>
                  <m:sty m:val="p"/>
                </m:rPr>
                <m:t>2020</m:t>
              </m:r>
            </m:sub>
          </m:sSub>
          <m:r>
            <m:rPr>
              <m:sty m:val="p"/>
            </m:rPr>
            <m:t>+</m:t>
          </m:r>
          <m:f>
            <m:fPr>
              <m:type m:val="bar"/>
            </m:fPr>
            <m:num>
              <m:sSub>
                <m:e>
                  <m:r>
                    <m:t>E</m:t>
                  </m:r>
                </m:e>
                <m:sub>
                  <m:r>
                    <m:t>x</m:t>
                  </m:r>
                  <m:r>
                    <m:rPr>
                      <m:sty m:val="p"/>
                    </m:rPr>
                    <m:t>,</m:t>
                  </m:r>
                  <m:r>
                    <m:rPr>
                      <m:sty m:val="p"/>
                    </m:rPr>
                    <m:t>N</m:t>
                  </m:r>
                  <m:r>
                    <m:rPr>
                      <m:sty m:val="p"/>
                    </m:rPr>
                    <m:t>U</m:t>
                  </m:r>
                  <m:r>
                    <m:rPr>
                      <m:sty m:val="p"/>
                    </m:rPr>
                    <m:t>B</m:t>
                  </m:r>
                  <m:r>
                    <m:rPr>
                      <m:sty m:val="p"/>
                    </m:rPr>
                    <m:t>A</m:t>
                  </m:r>
                  <m:r>
                    <m:rPr>
                      <m:sty m:val="p"/>
                    </m:rPr>
                    <m:t>S</m:t>
                  </m:r>
                  <m:r>
                    <m:rPr>
                      <m:sty m:val="p"/>
                    </m:rPr>
                    <m:t>E</m:t>
                  </m:r>
                  <m:r>
                    <m:rPr>
                      <m:sty m:val="p"/>
                    </m:rPr>
                    <m:t>2020</m:t>
                  </m:r>
                </m:sub>
              </m:sSub>
            </m:num>
            <m:den>
              <m:sSub>
                <m:e>
                  <m:r>
                    <m:t>C</m:t>
                  </m:r>
                </m:e>
                <m:sub>
                  <m:r>
                    <m:t>u</m:t>
                  </m:r>
                </m:sub>
              </m:sSub>
            </m:den>
          </m:f>
          <m:r>
            <m:rPr>
              <m:sty m:val="p"/>
            </m:rPr>
            <m:t>.</m:t>
          </m:r>
        </m:oMath>
      </m:oMathPara>
    </w:p>
    <w:p>
      <w:pPr>
        <w:pStyle w:val="FirstParagraph"/>
      </w:pPr>
      <w:r>
        <w:t xml:space="preserve">网页在线选项查询 IAEA LiveChart 基态质量过剩，同时保留明确的 2020 版来源约定与保存副本回退。评价日期和请求获取日期不同。本地</w:t>
      </w:r>
      <w:r>
        <w:t xml:space="preserve"> </w:t>
      </w:r>
      <w:r>
        <w:rPr>
          <w:rStyle w:val="VerbatimChar"/>
        </w:rPr>
        <w:t xml:space="preserve">ame2020</w:t>
      </w:r>
      <w:r>
        <w:t xml:space="preserve"> </w:t>
      </w:r>
      <w:r>
        <w:t xml:space="preserve">策略对基态使用 AME，对选定激发态使用 NUBASE 直接列出的质量，不用上式重新组合。本地</w:t>
      </w:r>
      <w:r>
        <w:t xml:space="preserve"> </w:t>
      </w:r>
      <w:r>
        <w:rPr>
          <w:rStyle w:val="VerbatimChar"/>
        </w:rPr>
        <w:t xml:space="preserve">nubase2020</w:t>
      </w:r>
      <w:r>
        <w:t xml:space="preserve"> </w:t>
      </w:r>
      <w:r>
        <w:t xml:space="preserve">明确选择该保存评价。这可能改变同核异能态结果，因此导出时必须保留核态与来源策略。</w:t>
      </w:r>
    </w:p>
    <w:p>
      <w:pPr>
        <w:pStyle w:val="BodyText"/>
      </w:pPr>
      <w:r>
        <w:t xml:space="preserve">网页常数保留 CODATA2018 与 AME2020 配置，</w:t>
      </w:r>
      <m:oMath>
        <m:sSub>
          <m:e>
            <m:r>
              <m:t>m</m:t>
            </m:r>
          </m:e>
          <m:sub>
            <m:r>
              <m:t>e</m:t>
            </m:r>
          </m:sub>
        </m:sSub>
        <m:r>
          <m:rPr>
            <m:sty m:val="p"/>
          </m:rPr>
          <m:t>=</m:t>
        </m:r>
        <m:r>
          <m:t>5.48579909065</m:t>
        </m:r>
        <m:r>
          <m:rPr>
            <m:sty m:val="p"/>
          </m:rPr>
          <m:t>×</m:t>
        </m:r>
        <m:sSup>
          <m:e>
            <m:r>
              <m:t>10</m:t>
            </m:r>
          </m:e>
          <m:sup>
            <m:r>
              <m:rPr>
                <m:sty m:val="p"/>
              </m:rPr>
              <m:t>−</m:t>
            </m:r>
            <m:r>
              <m:t>4</m:t>
            </m:r>
          </m:sup>
        </m:sSup>
      </m:oMath>
      <w:r>
        <w:t xml:space="preserve"> </w:t>
      </w:r>
      <w:r>
        <w:t xml:space="preserve">u、</w:t>
      </w:r>
      <m:oMath>
        <m:r>
          <m:t>u</m:t>
        </m:r>
        <m:r>
          <m:rPr>
            <m:sty m:val="p"/>
          </m:rPr>
          <m:t>=</m:t>
        </m:r>
        <m:r>
          <m:t>1.66053906660</m:t>
        </m:r>
        <m:r>
          <m:rPr>
            <m:sty m:val="p"/>
          </m:rPr>
          <m:t>×</m:t>
        </m:r>
        <m:sSup>
          <m:e>
            <m:r>
              <m:t>10</m:t>
            </m:r>
          </m:e>
          <m:sup>
            <m:r>
              <m:rPr>
                <m:sty m:val="p"/>
              </m:rPr>
              <m:t>−</m:t>
            </m:r>
            <m:r>
              <m:t>27</m:t>
            </m:r>
          </m:sup>
        </m:sSup>
      </m:oMath>
      <w:r>
        <w:t xml:space="preserve"> </w:t>
      </w:r>
      <w:r>
        <w:t xml:space="preserve">kg。本地兼容配置保留同一质量能量转换，但采用</w:t>
      </w:r>
      <w:r>
        <w:t xml:space="preserve"> </w:t>
      </w:r>
      <m:oMath>
        <m:sSub>
          <m:e>
            <m:r>
              <m:t>m</m:t>
            </m:r>
          </m:e>
          <m:sub>
            <m:r>
              <m:t>e</m:t>
            </m:r>
          </m:sub>
        </m:sSub>
        <m:r>
          <m:rPr>
            <m:sty m:val="p"/>
          </m:rPr>
          <m:t>=</m:t>
        </m:r>
        <m:r>
          <m:t>5.485799090441</m:t>
        </m:r>
        <m:r>
          <m:rPr>
            <m:sty m:val="p"/>
          </m:rPr>
          <m:t>×</m:t>
        </m:r>
        <m:sSup>
          <m:e>
            <m:r>
              <m:t>10</m:t>
            </m:r>
          </m:e>
          <m:sup>
            <m:r>
              <m:rPr>
                <m:sty m:val="p"/>
              </m:rPr>
              <m:t>−</m:t>
            </m:r>
            <m:r>
              <m:t>4</m:t>
            </m:r>
          </m:sup>
        </m:sSup>
      </m:oMath>
      <w:r>
        <w:t xml:space="preserve"> </w:t>
      </w:r>
      <w:r>
        <w:t xml:space="preserve">u、</w:t>
      </w:r>
      <m:oMath>
        <m:r>
          <m:t>u</m:t>
        </m:r>
        <m:r>
          <m:rPr>
            <m:sty m:val="p"/>
          </m:rPr>
          <m:t>=</m:t>
        </m:r>
        <m:r>
          <m:t>1.66053906892</m:t>
        </m:r>
        <m:r>
          <m:rPr>
            <m:sty m:val="p"/>
          </m:rPr>
          <m:t>×</m:t>
        </m:r>
        <m:sSup>
          <m:e>
            <m:r>
              <m:t>10</m:t>
            </m:r>
          </m:e>
          <m:sup>
            <m:r>
              <m:rPr>
                <m:sty m:val="p"/>
              </m:rPr>
              <m:t>−</m:t>
            </m:r>
            <m:r>
              <m:t>27</m:t>
            </m:r>
          </m:sup>
        </m:sSup>
      </m:oMath>
      <w:r>
        <w:t xml:space="preserve"> </w:t>
      </w:r>
      <w:r>
        <w:t xml:space="preserve">kg。两者小的数值差异不一定表示错误。</w:t>
      </w:r>
    </w:p>
    <w:bookmarkEnd w:id="24"/>
    <w:bookmarkStart w:id="25" w:name="运行已安装配套应用"/>
    <w:p>
      <w:pPr>
        <w:pStyle w:val="Heading2"/>
      </w:pPr>
      <w:r>
        <w:t xml:space="preserve">运行已安装配套应用</w:t>
      </w:r>
    </w:p>
    <w:p>
      <w:pPr>
        <w:pStyle w:val="FirstParagraph"/>
      </w:pPr>
      <w:r>
        <w:t xml:space="preserve">在单独安装的配套应用目录打开终端，执行保存来源的命令行比较：</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traplab_qt.cyclotron_compare 133Cs 85Rb </w:t>
      </w:r>
      <w:r>
        <w:rPr>
          <w:rStyle w:val="AttributeTok"/>
        </w:rPr>
        <w:t xml:space="preserve">--B</w:t>
      </w:r>
      <w:r>
        <w:rPr>
          <w:rStyle w:val="NormalTok"/>
        </w:rPr>
        <w:t xml:space="preserve"> 7 </w:t>
      </w:r>
      <w:r>
        <w:rPr>
          <w:rStyle w:val="AttributeTok"/>
        </w:rPr>
        <w:t xml:space="preserve">--sigma-B</w:t>
      </w:r>
      <w:r>
        <w:rPr>
          <w:rStyle w:val="NormalTok"/>
        </w:rPr>
        <w:t xml:space="preserve"> 0 </w:t>
      </w:r>
      <w:r>
        <w:rPr>
          <w:rStyle w:val="AttributeTok"/>
        </w:rPr>
        <w:t xml:space="preserve">--policy</w:t>
      </w:r>
      <w:r>
        <w:rPr>
          <w:rStyle w:val="NormalTok"/>
        </w:rPr>
        <w:t xml:space="preserve"> ame2020</w:t>
      </w:r>
    </w:p>
    <w:p>
      <w:pPr>
        <w:pStyle w:val="FirstParagraph"/>
      </w:pPr>
      <w:r>
        <w:t xml:space="preserve">添加</w:t>
      </w:r>
      <w:r>
        <w:t xml:space="preserve"> </w:t>
      </w:r>
      <w:r>
        <w:rPr>
          <w:rStyle w:val="VerbatimChar"/>
        </w:rPr>
        <w:t xml:space="preserve">--output cyclotron-example</w:t>
      </w:r>
      <w:r>
        <w:t xml:space="preserve"> </w:t>
      </w:r>
      <w:r>
        <w:t xml:space="preserve">可创建新输出目录，内含</w:t>
      </w:r>
      <w:r>
        <w:t xml:space="preserve"> </w:t>
      </w:r>
      <w:r>
        <w:rPr>
          <w:rStyle w:val="VerbatimChar"/>
        </w:rPr>
        <w:t xml:space="preserve">cyclotron_rows.json</w:t>
      </w:r>
      <w:r>
        <w:t xml:space="preserve"> </w:t>
      </w:r>
      <w:r>
        <w:t xml:space="preserve">与</w:t>
      </w:r>
      <w:r>
        <w:t xml:space="preserve"> </w:t>
      </w:r>
      <w:r>
        <w:rPr>
          <w:rStyle w:val="VerbatimChar"/>
        </w:rPr>
        <w:t xml:space="preserve">cyclotron_results.csv</w:t>
      </w:r>
      <w:r>
        <w:t xml:space="preserve">。若目录已存在则拒绝写入，以保留旧结果。使用</w:t>
      </w:r>
      <w:r>
        <w:t xml:space="preserve"> </w:t>
      </w:r>
      <w:r>
        <w:rPr>
          <w:rStyle w:val="VerbatimChar"/>
        </w:rPr>
        <w:t xml:space="preserve">--settings cyclotron-example/cyclotron_rows.json</w:t>
      </w:r>
      <w:r>
        <w:t xml:space="preserve"> </w:t>
      </w:r>
      <w:r>
        <w:t xml:space="preserve">可读取输入并重新计算。本地服务离线运行，不实现浏览器的在线来源策略。图形入口为</w:t>
      </w:r>
      <w:r>
        <w:t xml:space="preserve"> </w:t>
      </w:r>
      <w:r>
        <w:rPr>
          <w:rStyle w:val="VerbatimChar"/>
        </w:rPr>
        <w:t xml:space="preserve">Individual_tools/14_Cyclotron_comparison.command</w:t>
      </w:r>
      <w:r>
        <w:t xml:space="preserve">，独立页为</w:t>
      </w:r>
      <w:r>
        <w:t xml:space="preserve"> </w:t>
      </w:r>
      <w:r>
        <w:rPr>
          <w:rStyle w:val="VerbatimChar"/>
        </w:rPr>
        <w:t xml:space="preserve">cyclotron_compare</w:t>
      </w:r>
      <w:r>
        <w:t xml:space="preserve">。模块和启动器名称用于已安装应用，不是私有源码下载链接。</w:t>
      </w:r>
    </w:p>
    <w:p>
      <w:pPr>
        <w:pStyle w:val="BodyText"/>
      </w:pPr>
      <w:r>
        <w:t xml:space="preserve">也可运行</w:t>
      </w:r>
      <w:r>
        <w:t xml:space="preserve"> </w:t>
      </w:r>
      <w:r>
        <w:rPr>
          <w:rStyle w:val="VerbatimChar"/>
        </w:rPr>
        <w:t xml:space="preserve">./Run_private.command traplab.py gui --standalone --page cyclotron_compare</w:t>
      </w:r>
      <w:r>
        <w:t xml:space="preserve"> </w:t>
      </w:r>
      <w:r>
        <w:t xml:space="preserve">打开图形页面。它提供英中文切换、一到十行、逐行频率图、可展开来源，以及 Auto、TrapLab、Cloudberry、MRS legacy 名称规则。本地示例为</w:t>
      </w:r>
      <w:r>
        <w:t xml:space="preserve"> </w:t>
      </w:r>
      <w:r>
        <w:rPr>
          <w:rStyle w:val="VerbatimChar"/>
        </w:rPr>
        <w:t xml:space="preserve">133Cs</w:t>
      </w:r>
      <w:r>
        <w:t xml:space="preserve">、</w:t>
      </w:r>
      <w:r>
        <w:rPr>
          <w:rStyle w:val="VerbatimChar"/>
        </w:rPr>
        <w:t xml:space="preserve">133Xe[m1]</w:t>
      </w:r>
      <w:r>
        <w:t xml:space="preserve">、</w:t>
      </w:r>
      <w:r>
        <w:rPr>
          <w:rStyle w:val="VerbatimChar"/>
        </w:rPr>
        <w:t xml:space="preserve">12C:16O2</w:t>
      </w:r>
      <w:r>
        <w:t xml:space="preserve">；本地页面不宣传完整元素名称别名。保存会新建</w:t>
      </w:r>
      <w:r>
        <w:t xml:space="preserve"> </w:t>
      </w:r>
      <w:r>
        <w:rPr>
          <w:rStyle w:val="VerbatimChar"/>
        </w:rPr>
        <w:t xml:space="preserve">outputs/cyclotron_compare/run-N/</w:t>
      </w:r>
      <w:r>
        <w:t xml:space="preserve"> </w:t>
      </w:r>
      <w:r>
        <w:t xml:space="preserve">输出包，打开行 JSON 则先完整校验，再替换输入并重新计算。专用输出包包含 CSV 与 JSON；图像保存使用既有 Plot style 和 Export plots，不能将它称为自动包含所有图像格式的输出包。</w:t>
      </w:r>
    </w:p>
    <w:bookmarkEnd w:id="25"/>
    <w:bookmarkStart w:id="26" w:name="故障处理与证据"/>
    <w:p>
      <w:pPr>
        <w:pStyle w:val="Heading2"/>
      </w:pPr>
      <w:r>
        <w:t xml:space="preserve">故障处理与证据</w:t>
      </w:r>
    </w:p>
    <w:p>
      <w:pPr>
        <w:pStyle w:val="FirstParagraph"/>
      </w:pPr>
      <w:r>
        <w:t xml:space="preserve">名称不明确时逐项指定同位素；选择实际收录的核态，修正电荷冲突，再计算。来源请求失败时可明确选择保存副本或重试，已有输入会保留。手动质量须有限且为正，并选对约定。不要为得到误差棒而把空白误差改成零。</w:t>
      </w:r>
    </w:p>
    <w:p>
      <w:pPr>
        <w:pStyle w:val="BodyText"/>
      </w:pPr>
      <w:r>
        <w:t xml:space="preserve">网页已有 43 项解析、计算和界面专项测试。本地十一项核心与实际 BasePage 测试通过，覆盖正负电荷、核态错误、重复同位素误差、单位、未知与零误差、设置重开和无效输入保留。离屏构建不等于本地 Cocoa 导出、实际浏览器下载、硬件或精密质量测量验收。结果以所选质量来源和省略的结合修正为条件。</w:t>
      </w:r>
    </w:p>
    <w:bookmarkEnd w:id="26"/>
    <w:bookmarkStart w:id="31" w:name="主要文献"/>
    <w:p>
      <w:pPr>
        <w:pStyle w:val="Heading2"/>
      </w:pPr>
      <w:r>
        <w:t xml:space="preserve">主要文献</w:t>
      </w:r>
    </w:p>
    <w:p>
      <w:pPr>
        <w:numPr>
          <w:ilvl w:val="0"/>
          <w:numId w:val="1002"/>
        </w:numPr>
        <w:pStyle w:val="Compact"/>
      </w:pPr>
      <w:r>
        <w:t xml:space="preserve">M. Wang 等，AME2020 原子质量评价 II，Chinese Physics C 45，030003（2021）；</w:t>
      </w:r>
      <w:hyperlink r:id="rId27">
        <w:r>
          <w:rPr>
            <w:rStyle w:val="Hyperlink"/>
          </w:rPr>
          <w:t xml:space="preserve">官方未舍入质量表</w:t>
        </w:r>
      </w:hyperlink>
      <w:r>
        <w:t xml:space="preserve">。表中标志区分系统学估计和缺失量。</w:t>
      </w:r>
    </w:p>
    <w:p>
      <w:pPr>
        <w:numPr>
          <w:ilvl w:val="0"/>
          <w:numId w:val="1002"/>
        </w:numPr>
        <w:pStyle w:val="Compact"/>
      </w:pPr>
      <w:r>
        <w:t xml:space="preserve">F. G. Kondev 等，NUBASE2020 核性质评价，Chinese Physics C 45，030001（2021），</w:t>
      </w:r>
      <w:hyperlink r:id="rId28">
        <w:r>
          <w:rPr>
            <w:rStyle w:val="Hyperlink"/>
          </w:rPr>
          <w:t xml:space="preserve">DOI 10.1088/1674-1137/abddae</w:t>
        </w:r>
      </w:hyperlink>
      <w:r>
        <w:t xml:space="preserve">；</w:t>
      </w:r>
      <w:hyperlink r:id="rId29">
        <w:r>
          <w:rPr>
            <w:rStyle w:val="Hyperlink"/>
          </w:rPr>
          <w:t xml:space="preserve">官方核态表</w:t>
        </w:r>
      </w:hyperlink>
      <w:r>
        <w:t xml:space="preserve">。</w:t>
      </w:r>
    </w:p>
    <w:p>
      <w:pPr>
        <w:numPr>
          <w:ilvl w:val="0"/>
          <w:numId w:val="1002"/>
        </w:numPr>
        <w:pStyle w:val="Compact"/>
      </w:pPr>
      <w:r>
        <w:t xml:space="preserve">IAEA Nuclear Data Services，</w:t>
      </w:r>
      <w:hyperlink r:id="rId30">
        <w:r>
          <w:rPr>
            <w:rStyle w:val="Hyperlink"/>
          </w:rPr>
          <w:t xml:space="preserve">LiveChart 数据下载 API 指南</w:t>
        </w:r>
      </w:hyperlink>
      <w:r>
        <w:t xml:space="preserve">，核对日期 2026 年 10 月 24 日。API 字段说明不改变所选 AME 与 NUBASE 评价版本。</w:t>
      </w:r>
    </w:p>
    <w:bookmarkEnd w:id="31"/>
    <w:sectPr w:rsidR="00FC693F" w:rsidRPr="0006063C" w:rsidSect="00034616">
      <w:footerReference r:id="rId9" w:type="default"/>
      <w:pgSz w:h="15840" w:w="12240"/>
      <w:pgMar w:bottom="1152" w:footer="504" w:gutter="0" w:header="504" w:left="1152" w:right="1152" w:top="1152"/>
      <w:cols w:space="720" w:num="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Times New Roman" w:eastAsia="Songti SC"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HeaderChar" w:type="character">
    <w:name w:val="Header Char"/>
    <w:basedOn w:val="DefaultParagraphFont"/>
    <w:link w:val="Header"/>
    <w:uiPriority w:val="99"/>
    <w:rsid w:val="00E618BF"/>
    <w:rPr>
      <w:rFonts w:ascii="Times New Roman" w:hAnsi="Times New Roman" w:eastAsia="Songti SC"/>
      <w:color w:val="000000"/>
    </w:rPr>
  </w:style>
  <w:style w:styleId="Footer" w:type="paragraph">
    <w:name w:val="footer"/>
    <w:basedOn w:val="Normal"/>
    <w:link w:val="Foot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FooterChar" w:type="character">
    <w:name w:val="Footer Char"/>
    <w:basedOn w:val="DefaultParagraphFont"/>
    <w:link w:val="Footer"/>
    <w:uiPriority w:val="99"/>
    <w:rsid w:val="00E618BF"/>
    <w:rPr>
      <w:rFonts w:ascii="Times New Roman" w:hAnsi="Times New Roman" w:eastAsia="Songti SC"/>
      <w:color w:val="000000"/>
    </w:rPr>
  </w:style>
  <w:style w:styleId="Heading1" w:type="paragraph">
    <w:name w:val="heading 1"/>
    <w:basedOn w:val="Normal"/>
    <w:next w:val="Normal"/>
    <w:link w:val="Heading1Char"/>
    <w:uiPriority w:val="9"/>
    <w:qFormat/>
    <w:rsid w:val="00FC693F"/>
    <w:pPr>
      <w:keepNext/>
      <w:keepLines/>
      <w:spacing w:after="120" w:before="280" w:line="259" w:lineRule="auto"/>
      <w:outlineLvl w:val="0"/>
    </w:pPr>
    <w:rPr>
      <w:rFonts w:ascii="Times New Roman" w:asciiTheme="majorHAnsi" w:cstheme="majorBidi" w:eastAsia="Songti SC" w:eastAsiaTheme="majorEastAsia" w:hAnsi="Times New Roman"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Times New Roman" w:asciiTheme="majorHAnsi" w:cstheme="majorBidi" w:eastAsia="Songti SC"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80" w:line="259" w:lineRule="auto"/>
      <w:outlineLvl w:val="2"/>
    </w:pPr>
    <w:rPr>
      <w:rFonts w:ascii="Times New Roman" w:asciiTheme="majorHAnsi" w:cstheme="majorBidi" w:eastAsia="Songti SC"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9" w:lineRule="auto"/>
      <w:outlineLvl w:val="3"/>
    </w:pPr>
    <w:rPr>
      <w:rFonts w:ascii="Times New Roman" w:asciiTheme="majorHAnsi" w:cstheme="majorBidi" w:eastAsia="Songti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9" w:lineRule="auto"/>
      <w:outlineLvl w:val="4"/>
    </w:pPr>
    <w:rPr>
      <w:rFonts w:ascii="Times New Roman" w:asciiTheme="majorHAnsi" w:cstheme="majorBidi" w:eastAsia="Songti SC" w:eastAsiaTheme="majorEastAsia" w:hAnsi="Times New Roman"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9" w:lineRule="auto"/>
      <w:outlineLvl w:val="5"/>
    </w:pPr>
    <w:rPr>
      <w:rFonts w:ascii="Times New Roman" w:asciiTheme="majorHAnsi" w:cstheme="majorBidi" w:eastAsia="Songti SC" w:eastAsiaTheme="majorEastAsia" w:hAnsi="Times New Roman"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9" w:lineRule="auto"/>
      <w:outlineLvl w:val="6"/>
    </w:pPr>
    <w:rPr>
      <w:rFonts w:ascii="Times New Roman" w:asciiTheme="majorHAnsi" w:cstheme="majorBidi" w:eastAsia="Songti SC" w:eastAsiaTheme="majorEastAsia" w:hAnsi="Times New Roman"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9" w:lineRule="auto"/>
      <w:outlineLvl w:val="7"/>
    </w:pPr>
    <w:rPr>
      <w:rFonts w:ascii="Times New Roman" w:asciiTheme="majorHAnsi" w:cstheme="majorBidi" w:eastAsia="Songti SC" w:eastAsiaTheme="majorEastAsia" w:hAnsi="Times New Roman"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9" w:lineRule="auto"/>
      <w:outlineLvl w:val="8"/>
    </w:pPr>
    <w:rPr>
      <w:rFonts w:ascii="Times New Roman" w:asciiTheme="majorHAnsi" w:cstheme="majorBidi" w:eastAsia="Songti SC" w:eastAsiaTheme="majorEastAsia" w:hAnsi="Times New Roman" w:hAnsiTheme="majorHAnsi"/>
      <w:i/>
      <w:iCs/>
      <w:color w:val="000000"/>
      <w:sz w:val="22"/>
      <w:szCs w:val="20"/>
    </w:rPr>
  </w:style>
  <w:style w:default="1" w:styleId="DefaultParagraphFont" w:type="character">
    <w:name w:val="Default Paragraph Font"/>
    <w:uiPriority w:val="1"/>
    <w:semiHidden/>
    <w:unhideWhenUsed/>
    <w:rPr>
      <w:rFonts w:ascii="Times New Roman" w:hAnsi="Times New Roman" w:eastAsia="Songti SC"/>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9" w:lineRule="auto"/>
    </w:pPr>
    <w:rPr>
      <w:rFonts w:ascii="Times New Roman" w:eastAsia="Songti SC" w:hAnsi="Times New Roman"/>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Times New Roman" w:hAnsi="Times New Roman" w:eastAsia="Songti SC"/>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Times New Roman" w:hAnsi="Times New Roman" w:eastAsia="Songti SC"/>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Times New Roman" w:hAnsi="Times New Roman" w:eastAsia="Songti SC"/>
      <w:b/>
      <w:bCs/>
      <w:color w:val="000000"/>
    </w:rPr>
  </w:style>
  <w:style w:styleId="Title" w:type="paragraph">
    <w:name w:val="Title"/>
    <w:basedOn w:val="Normal"/>
    <w:next w:val="Normal"/>
    <w:link w:val="TitleChar"/>
    <w:uiPriority w:val="10"/>
    <w:qFormat/>
    <w:rsid w:val="00FC693F"/>
    <w:pPr>
      <w:keepNext/>
      <w:spacing w:after="120" w:before="0" w:line="259" w:lineRule="auto"/>
      <w:contextualSpacing/>
    </w:pPr>
    <w:rPr>
      <w:rFonts w:ascii="Times New Roman" w:asciiTheme="majorHAnsi" w:cstheme="majorBidi" w:eastAsia="Songti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Times New Roman" w:hAnsi="Times New Roman" w:eastAsia="Songti SC"/>
      <w:color w:val="000000"/>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line="259" w:lineRule="auto"/>
    </w:pPr>
    <w:rPr>
      <w:rFonts w:ascii="Times New Roman" w:asciiTheme="majorHAnsi" w:cstheme="majorBidi" w:eastAsia="Songti SC" w:eastAsiaTheme="majorEastAsia" w:hAnsi="Times New Roman" w:hAnsiTheme="majorHAnsi"/>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Times New Roman" w:hAnsi="Times New Roman" w:eastAsia="Songti SC"/>
      <w:i/>
      <w:iCs/>
      <w:color w:val="000000"/>
      <w:spacing w:val="15"/>
      <w:sz w:val="24"/>
      <w:szCs w:val="24"/>
    </w:rPr>
  </w:style>
  <w:style w:styleId="ListParagraph" w:type="paragraph">
    <w:name w:val="List Paragraph"/>
    <w:basedOn w:val="Normal"/>
    <w:uiPriority w:val="34"/>
    <w:qFormat/>
    <w:rsid w:val="00FC693F"/>
    <w:pPr>
      <w:spacing w:line="259" w:lineRule="auto" w:after="120"/>
      <w:ind w:left="720"/>
      <w:contextualSpacing/>
    </w:pPr>
    <w:rPr>
      <w:rFonts w:ascii="Times New Roman" w:eastAsia="Songti SC" w:hAnsi="Times New Roman"/>
      <w:color w:val="000000"/>
      <w:sz w:val="22"/>
    </w:rPr>
  </w:style>
  <w:style w:styleId="BodyText" w:type="paragraph">
    <w:name w:val="Body Text"/>
    <w:basedOn w:val="Normal"/>
    <w:link w:val="BodyTextChar"/>
    <w:uiPriority w:val="99"/>
    <w:unhideWhenUsed/>
    <w:rsid w:val="00AA1D8D"/>
    <w:pPr>
      <w:spacing w:after="120" w:line="259" w:lineRule="auto"/>
    </w:pPr>
    <w:rPr>
      <w:rFonts w:ascii="Times New Roman" w:eastAsia="Songti SC" w:hAnsi="Times New Roman"/>
      <w:color w:val="000000"/>
      <w:sz w:val="22"/>
    </w:rPr>
  </w:style>
  <w:style w:customStyle="1" w:styleId="BodyTextChar" w:type="character">
    <w:name w:val="Body Text Char"/>
    <w:basedOn w:val="DefaultParagraphFont"/>
    <w:link w:val="BodyText"/>
    <w:uiPriority w:val="99"/>
    <w:rsid w:val="00AA1D8D"/>
    <w:rPr>
      <w:rFonts w:ascii="Times New Roman" w:hAnsi="Times New Roman" w:eastAsia="Songti SC"/>
      <w:color w:val="000000"/>
    </w:rPr>
  </w:style>
  <w:style w:styleId="BodyText2" w:type="paragraph">
    <w:name w:val="Body Text 2"/>
    <w:basedOn w:val="Normal"/>
    <w:link w:val="BodyText2Char"/>
    <w:uiPriority w:val="99"/>
    <w:unhideWhenUsed/>
    <w:rsid w:val="00AA1D8D"/>
    <w:pPr>
      <w:spacing w:after="120" w:line="259" w:lineRule="auto"/>
    </w:pPr>
    <w:rPr>
      <w:rFonts w:ascii="Times New Roman" w:eastAsia="Songti SC" w:hAnsi="Times New Roman"/>
      <w:color w:val="000000"/>
      <w:sz w:val="22"/>
    </w:rPr>
  </w:style>
  <w:style w:customStyle="1" w:styleId="BodyText2Char" w:type="character">
    <w:name w:val="Body Text 2 Char"/>
    <w:basedOn w:val="DefaultParagraphFont"/>
    <w:link w:val="BodyText2"/>
    <w:uiPriority w:val="99"/>
    <w:rsid w:val="00AA1D8D"/>
    <w:rPr>
      <w:rFonts w:ascii="Times New Roman" w:hAnsi="Times New Roman" w:eastAsia="Songti SC"/>
      <w:color w:val="000000"/>
    </w:rPr>
  </w:style>
  <w:style w:styleId="BodyText3" w:type="paragraph">
    <w:name w:val="Body Text 3"/>
    <w:basedOn w:val="Normal"/>
    <w:link w:val="BodyText3Char"/>
    <w:uiPriority w:val="99"/>
    <w:unhideWhenUsed/>
    <w:rsid w:val="00AA1D8D"/>
    <w:pPr>
      <w:spacing w:after="120" w:line="259" w:lineRule="auto"/>
    </w:pPr>
    <w:rPr>
      <w:rFonts w:ascii="Times New Roman" w:eastAsia="Songti SC" w:hAnsi="Times New Roman"/>
      <w:color w:val="000000"/>
      <w:sz w:val="22"/>
      <w:szCs w:val="16"/>
    </w:rPr>
  </w:style>
  <w:style w:customStyle="1" w:styleId="BodyText3Char" w:type="character">
    <w:name w:val="Body Text 3 Char"/>
    <w:basedOn w:val="DefaultParagraphFont"/>
    <w:link w:val="BodyText3"/>
    <w:uiPriority w:val="99"/>
    <w:rsid w:val="00AA1D8D"/>
    <w:rPr>
      <w:rFonts w:ascii="Times New Roman" w:hAnsi="Times New Roman" w:eastAsia="Songti SC"/>
      <w:color w:val="000000"/>
      <w:sz w:val="16"/>
      <w:szCs w:val="16"/>
    </w:rPr>
  </w:style>
  <w:style w:styleId="List" w:type="paragraph">
    <w:name w:val="List"/>
    <w:basedOn w:val="Normal"/>
    <w:uiPriority w:val="99"/>
    <w:unhideWhenUsed/>
    <w:rsid w:val="00AA1D8D"/>
    <w:pPr>
      <w:spacing w:line="259" w:lineRule="auto" w:after="120"/>
      <w:ind w:hanging="360" w:left="360"/>
      <w:contextualSpacing/>
    </w:pPr>
    <w:rPr>
      <w:rFonts w:ascii="Times New Roman" w:eastAsia="Songti SC" w:hAnsi="Times New Roman"/>
      <w:color w:val="000000"/>
      <w:sz w:val="22"/>
    </w:rPr>
  </w:style>
  <w:style w:styleId="List2" w:type="paragraph">
    <w:name w:val="List 2"/>
    <w:basedOn w:val="Normal"/>
    <w:uiPriority w:val="99"/>
    <w:unhideWhenUsed/>
    <w:rsid w:val="00326F90"/>
    <w:pPr>
      <w:spacing w:line="259" w:lineRule="auto" w:after="120"/>
      <w:ind w:hanging="360" w:left="720"/>
      <w:contextualSpacing/>
    </w:pPr>
    <w:rPr>
      <w:rFonts w:ascii="Times New Roman" w:eastAsia="Songti SC" w:hAnsi="Times New Roman"/>
      <w:color w:val="000000"/>
      <w:sz w:val="22"/>
    </w:rPr>
  </w:style>
  <w:style w:styleId="List3" w:type="paragraph">
    <w:name w:val="List 3"/>
    <w:basedOn w:val="Normal"/>
    <w:uiPriority w:val="99"/>
    <w:unhideWhenUsed/>
    <w:rsid w:val="00326F90"/>
    <w:pPr>
      <w:spacing w:line="259" w:lineRule="auto" w:after="120"/>
      <w:ind w:hanging="360" w:left="1080"/>
      <w:contextualSpacing/>
    </w:pPr>
    <w:rPr>
      <w:rFonts w:ascii="Times New Roman" w:eastAsia="Songti SC" w:hAnsi="Times New Roman"/>
      <w:color w:val="000000"/>
      <w:sz w:val="22"/>
    </w:rPr>
  </w:style>
  <w:style w:styleId="ListBullet" w:type="paragraph">
    <w:name w:val="List Bullet"/>
    <w:basedOn w:val="Normal"/>
    <w:uiPriority w:val="99"/>
    <w:unhideWhenUsed/>
    <w:rsid w:val="00326F90"/>
    <w:pPr>
      <w:numPr>
        <w:numId w:val="1"/>
      </w:numPr>
      <w:spacing w:line="259" w:lineRule="auto" w:after="120"/>
      <w:contextualSpacing/>
    </w:pPr>
    <w:rPr>
      <w:rFonts w:ascii="Times New Roman" w:eastAsia="Songti SC" w:hAnsi="Times New Roman"/>
      <w:color w:val="000000"/>
      <w:sz w:val="22"/>
    </w:rPr>
  </w:style>
  <w:style w:styleId="ListBullet2" w:type="paragraph">
    <w:name w:val="List Bullet 2"/>
    <w:basedOn w:val="Normal"/>
    <w:uiPriority w:val="99"/>
    <w:unhideWhenUsed/>
    <w:rsid w:val="00326F90"/>
    <w:pPr>
      <w:numPr>
        <w:numId w:val="2"/>
      </w:numPr>
      <w:spacing w:line="259" w:lineRule="auto" w:after="120"/>
      <w:contextualSpacing/>
    </w:pPr>
    <w:rPr>
      <w:rFonts w:ascii="Times New Roman" w:eastAsia="Songti SC" w:hAnsi="Times New Roman"/>
      <w:color w:val="000000"/>
      <w:sz w:val="22"/>
    </w:rPr>
  </w:style>
  <w:style w:styleId="ListBullet3" w:type="paragraph">
    <w:name w:val="List Bullet 3"/>
    <w:basedOn w:val="Normal"/>
    <w:uiPriority w:val="99"/>
    <w:unhideWhenUsed/>
    <w:rsid w:val="00326F90"/>
    <w:pPr>
      <w:numPr>
        <w:numId w:val="3"/>
      </w:numPr>
      <w:spacing w:line="259" w:lineRule="auto" w:after="120"/>
      <w:contextualSpacing/>
    </w:pPr>
    <w:rPr>
      <w:rFonts w:ascii="Times New Roman" w:eastAsia="Songti SC" w:hAnsi="Times New Roman"/>
      <w:color w:val="000000"/>
      <w:sz w:val="22"/>
    </w:rPr>
  </w:style>
  <w:style w:styleId="ListNumber" w:type="paragraph">
    <w:name w:val="List Number"/>
    <w:basedOn w:val="Normal"/>
    <w:uiPriority w:val="99"/>
    <w:unhideWhenUsed/>
    <w:rsid w:val="00326F90"/>
    <w:pPr>
      <w:numPr>
        <w:numId w:val="5"/>
      </w:numPr>
      <w:spacing w:line="259" w:lineRule="auto" w:after="120"/>
      <w:contextualSpacing/>
    </w:pPr>
    <w:rPr>
      <w:rFonts w:ascii="Times New Roman" w:eastAsia="Songti SC" w:hAnsi="Times New Roman"/>
      <w:color w:val="000000"/>
      <w:sz w:val="22"/>
    </w:rPr>
  </w:style>
  <w:style w:styleId="ListNumber2" w:type="paragraph">
    <w:name w:val="List Number 2"/>
    <w:basedOn w:val="Normal"/>
    <w:uiPriority w:val="99"/>
    <w:unhideWhenUsed/>
    <w:rsid w:val="0029639D"/>
    <w:pPr>
      <w:numPr>
        <w:numId w:val="6"/>
      </w:numPr>
      <w:spacing w:line="259" w:lineRule="auto" w:after="120"/>
      <w:contextualSpacing/>
    </w:pPr>
    <w:rPr>
      <w:rFonts w:ascii="Times New Roman" w:eastAsia="Songti SC" w:hAnsi="Times New Roman"/>
      <w:color w:val="000000"/>
      <w:sz w:val="22"/>
    </w:rPr>
  </w:style>
  <w:style w:styleId="ListNumber3" w:type="paragraph">
    <w:name w:val="List Number 3"/>
    <w:basedOn w:val="Normal"/>
    <w:uiPriority w:val="99"/>
    <w:unhideWhenUsed/>
    <w:rsid w:val="0029639D"/>
    <w:pPr>
      <w:numPr>
        <w:numId w:val="7"/>
      </w:numPr>
      <w:spacing w:line="259" w:lineRule="auto" w:after="120"/>
      <w:contextualSpacing/>
    </w:pPr>
    <w:rPr>
      <w:rFonts w:ascii="Times New Roman" w:eastAsia="Songti SC" w:hAnsi="Times New Roman"/>
      <w:color w:val="000000"/>
      <w:sz w:val="22"/>
    </w:rPr>
  </w:style>
  <w:style w:styleId="ListContinue" w:type="paragraph">
    <w:name w:val="List Continue"/>
    <w:basedOn w:val="Normal"/>
    <w:uiPriority w:val="99"/>
    <w:unhideWhenUsed/>
    <w:rsid w:val="0029639D"/>
    <w:pPr>
      <w:spacing w:after="120" w:line="259" w:lineRule="auto"/>
      <w:ind w:left="360"/>
      <w:contextualSpacing/>
    </w:pPr>
    <w:rPr>
      <w:rFonts w:ascii="Times New Roman" w:eastAsia="Songti SC" w:hAnsi="Times New Roman"/>
      <w:color w:val="000000"/>
      <w:sz w:val="22"/>
    </w:rPr>
  </w:style>
  <w:style w:styleId="ListContinue2" w:type="paragraph">
    <w:name w:val="List Continue 2"/>
    <w:basedOn w:val="Normal"/>
    <w:uiPriority w:val="99"/>
    <w:unhideWhenUsed/>
    <w:rsid w:val="0029639D"/>
    <w:pPr>
      <w:spacing w:after="120" w:line="259" w:lineRule="auto"/>
      <w:ind w:left="720"/>
      <w:contextualSpacing/>
    </w:pPr>
    <w:rPr>
      <w:rFonts w:ascii="Times New Roman" w:eastAsia="Songti SC" w:hAnsi="Times New Roman"/>
      <w:color w:val="000000"/>
      <w:sz w:val="22"/>
    </w:rPr>
  </w:style>
  <w:style w:styleId="ListContinue3" w:type="paragraph">
    <w:name w:val="List Continue 3"/>
    <w:basedOn w:val="Normal"/>
    <w:uiPriority w:val="99"/>
    <w:unhideWhenUsed/>
    <w:rsid w:val="0029639D"/>
    <w:pPr>
      <w:spacing w:after="120" w:line="259" w:lineRule="auto"/>
      <w:ind w:left="1080"/>
      <w:contextualSpacing/>
    </w:pPr>
    <w:rPr>
      <w:rFonts w:ascii="Times New Roman" w:eastAsia="Songti SC" w:hAnsi="Times New Roman"/>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line="259" w:lineRule="auto" w:after="120"/>
    </w:pPr>
    <w:rPr>
      <w:rFonts w:ascii="Times New Roman" w:eastAsia="Songti SC" w:hAnsi="Times New Roman"/>
      <w:color w:val="000000"/>
      <w:sz w:val="22"/>
      <w:szCs w:val="20"/>
    </w:rPr>
  </w:style>
  <w:style w:customStyle="1" w:styleId="MacroTextChar" w:type="character">
    <w:name w:val="Macro Text Char"/>
    <w:basedOn w:val="DefaultParagraphFont"/>
    <w:link w:val="MacroText"/>
    <w:uiPriority w:val="99"/>
    <w:rsid w:val="0029639D"/>
    <w:rPr>
      <w:rFonts w:ascii="Times New Roman" w:hAnsi="Times New Roman" w:eastAsia="Songti SC"/>
      <w:color w:val="000000"/>
      <w:sz w:val="20"/>
      <w:szCs w:val="20"/>
    </w:rPr>
  </w:style>
  <w:style w:styleId="Quote" w:type="paragraph">
    <w:name w:val="Quote"/>
    <w:basedOn w:val="Normal"/>
    <w:next w:val="Normal"/>
    <w:link w:val="QuoteChar"/>
    <w:uiPriority w:val="29"/>
    <w:qFormat/>
    <w:rsid w:val="00FC693F"/>
    <w:pPr>
      <w:spacing w:line="259" w:lineRule="auto" w:after="120"/>
    </w:pPr>
    <w:rPr>
      <w:rFonts w:ascii="Times New Roman" w:eastAsia="Songti SC" w:hAnsi="Times New Roman"/>
      <w:i/>
      <w:iCs/>
      <w:color w:val="000000"/>
      <w:sz w:val="22"/>
    </w:rPr>
  </w:style>
  <w:style w:customStyle="1" w:styleId="QuoteChar" w:type="character">
    <w:name w:val="Quote Char"/>
    <w:basedOn w:val="DefaultParagraphFont"/>
    <w:link w:val="Quote"/>
    <w:uiPriority w:val="29"/>
    <w:rsid w:val="00FC693F"/>
    <w:rPr>
      <w:rFonts w:ascii="Times New Roman" w:hAnsi="Times New Roman" w:eastAsia="Songti SC"/>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Times New Roman" w:hAnsi="Times New Roman" w:eastAsia="Songti SC"/>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Times New Roman" w:hAnsi="Times New Roman" w:eastAsia="Songti SC"/>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Times New Roman" w:hAnsi="Times New Roman" w:eastAsia="Songti SC"/>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Times New Roman" w:hAnsi="Times New Roman" w:eastAsia="Songti SC"/>
      <w:i/>
      <w:iCs/>
      <w:color w:val="000000"/>
      <w:sz w:val="20"/>
      <w:szCs w:val="20"/>
    </w:rPr>
  </w:style>
  <w:style w:styleId="Caption" w:type="paragraph">
    <w:name w:val="caption"/>
    <w:basedOn w:val="Normal"/>
    <w:next w:val="Normal"/>
    <w:uiPriority w:val="35"/>
    <w:semiHidden/>
    <w:unhideWhenUsed/>
    <w:qFormat/>
    <w:rsid w:val="00FC693F"/>
    <w:pPr>
      <w:spacing w:line="259" w:lineRule="auto" w:after="120"/>
    </w:pPr>
    <w:rPr>
      <w:rFonts w:ascii="Times New Roman" w:eastAsia="Songti SC" w:hAnsi="Times New Roman"/>
      <w:b/>
      <w:bCs/>
      <w:color w:val="000000"/>
      <w:sz w:val="22"/>
      <w:szCs w:val="18"/>
    </w:rPr>
  </w:style>
  <w:style w:styleId="Strong" w:type="character">
    <w:name w:val="Strong"/>
    <w:basedOn w:val="DefaultParagraphFont"/>
    <w:uiPriority w:val="22"/>
    <w:qFormat/>
    <w:rsid w:val="00FC693F"/>
    <w:rPr>
      <w:rFonts w:ascii="Times New Roman" w:hAnsi="Times New Roman" w:eastAsia="Songti SC"/>
      <w:b/>
      <w:bCs/>
      <w:color w:val="000000"/>
    </w:rPr>
  </w:style>
  <w:style w:styleId="Emphasis" w:type="character">
    <w:name w:val="Emphasis"/>
    <w:basedOn w:val="DefaultParagraphFont"/>
    <w:uiPriority w:val="20"/>
    <w:qFormat/>
    <w:rsid w:val="00FC693F"/>
    <w:rPr>
      <w:rFonts w:ascii="Times New Roman" w:hAnsi="Times New Roman" w:eastAsia="Songti SC"/>
      <w:i/>
      <w:iCs/>
      <w:color w:val="000000"/>
    </w:rPr>
  </w:style>
  <w:style w:styleId="IntenseQuote" w:type="paragraph">
    <w:name w:val="Intense Quote"/>
    <w:basedOn w:val="Normal"/>
    <w:next w:val="Normal"/>
    <w:link w:val="IntenseQuoteChar"/>
    <w:uiPriority w:val="30"/>
    <w:qFormat/>
    <w:rsid w:val="00FC693F"/>
    <w:pPr>
      <w:spacing w:after="120" w:before="200" w:line="259" w:lineRule="auto"/>
      <w:ind w:left="936" w:right="936"/>
    </w:pPr>
    <w:rPr>
      <w:rFonts w:ascii="Times New Roman" w:eastAsia="Songti SC" w:hAnsi="Times New Roman"/>
      <w:b/>
      <w:bCs/>
      <w:i/>
      <w:iCs/>
      <w:color w:val="000000"/>
      <w:sz w:val="22"/>
    </w:rPr>
  </w:style>
  <w:style w:customStyle="1" w:styleId="IntenseQuoteChar" w:type="character">
    <w:name w:val="Intense Quote Char"/>
    <w:basedOn w:val="DefaultParagraphFont"/>
    <w:link w:val="IntenseQuote"/>
    <w:uiPriority w:val="30"/>
    <w:rsid w:val="00FC693F"/>
    <w:rPr>
      <w:rFonts w:ascii="Times New Roman" w:hAnsi="Times New Roman" w:eastAsia="Songti SC"/>
      <w:b/>
      <w:bCs/>
      <w:i/>
      <w:iCs/>
      <w:color w:val="000000"/>
    </w:rPr>
  </w:style>
  <w:style w:styleId="SubtleEmphasis" w:type="character">
    <w:name w:val="Subtle Emphasis"/>
    <w:basedOn w:val="DefaultParagraphFont"/>
    <w:uiPriority w:val="19"/>
    <w:qFormat/>
    <w:rsid w:val="00FC693F"/>
    <w:rPr>
      <w:rFonts w:ascii="Times New Roman" w:hAnsi="Times New Roman" w:eastAsia="Songti SC"/>
      <w:i/>
      <w:iCs/>
      <w:color w:val="000000"/>
    </w:rPr>
  </w:style>
  <w:style w:styleId="IntenseEmphasis" w:type="character">
    <w:name w:val="Intense Emphasis"/>
    <w:basedOn w:val="DefaultParagraphFont"/>
    <w:uiPriority w:val="21"/>
    <w:qFormat/>
    <w:rsid w:val="00FC693F"/>
    <w:rPr>
      <w:rFonts w:ascii="Times New Roman" w:hAnsi="Times New Roman" w:eastAsia="Songti SC"/>
      <w:b/>
      <w:bCs/>
      <w:i/>
      <w:iCs/>
      <w:color w:val="000000"/>
    </w:rPr>
  </w:style>
  <w:style w:styleId="SubtleReference" w:type="character">
    <w:name w:val="Subtle Reference"/>
    <w:basedOn w:val="DefaultParagraphFont"/>
    <w:uiPriority w:val="31"/>
    <w:qFormat/>
    <w:rsid w:val="00FC693F"/>
    <w:rPr>
      <w:rFonts w:ascii="Times New Roman" w:hAnsi="Times New Roman" w:eastAsia="Songti SC"/>
      <w:smallCaps/>
      <w:color w:val="000000"/>
      <w:u w:val="single"/>
    </w:rPr>
  </w:style>
  <w:style w:styleId="IntenseReference" w:type="character">
    <w:name w:val="Intense Reference"/>
    <w:basedOn w:val="DefaultParagraphFont"/>
    <w:uiPriority w:val="32"/>
    <w:qFormat/>
    <w:rsid w:val="00FC693F"/>
    <w:rPr>
      <w:rFonts w:ascii="Times New Roman" w:hAnsi="Times New Roman" w:eastAsia="Songti SC"/>
      <w:b/>
      <w:bCs/>
      <w:smallCaps/>
      <w:color w:val="000000"/>
      <w:spacing w:val="5"/>
      <w:u w:val="single"/>
    </w:rPr>
  </w:style>
  <w:style w:styleId="BookTitle" w:type="character">
    <w:name w:val="Book Title"/>
    <w:basedOn w:val="DefaultParagraphFont"/>
    <w:uiPriority w:val="33"/>
    <w:qFormat/>
    <w:rsid w:val="00FC693F"/>
    <w:rPr>
      <w:rFonts w:ascii="Times New Roman" w:hAnsi="Times New Roman" w:eastAsia="Songti SC"/>
      <w:b/>
      <w:bCs/>
      <w:smallCaps/>
      <w:color w:val="000000"/>
      <w:spacing w:val="5"/>
    </w:rPr>
  </w:style>
  <w:style w:styleId="TOCHeading" w:type="paragraph">
    <w:name w:val="TOC Heading"/>
    <w:basedOn w:val="Heading1"/>
    <w:next w:val="Normal"/>
    <w:uiPriority w:val="39"/>
    <w:semiHidden/>
    <w:unhideWhenUsed/>
    <w:qFormat/>
    <w:rsid w:val="00FC693F"/>
    <w:pPr>
      <w:spacing w:line="259" w:lineRule="auto" w:after="120"/>
      <w:outlineLvl w:val="9"/>
    </w:pPr>
    <w:rPr>
      <w:rFonts w:ascii="Times New Roman" w:eastAsia="Songti SC" w:hAnsi="Times New Roman"/>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259" w:lineRule="auto" w:after="120"/>
    </w:pPr>
    <w:rPr>
      <w:rFonts w:ascii="Menlo" w:hAnsi="Menlo" w:eastAsia="Songti SC"/>
      <w:color w:val="000000"/>
      <w:sz w:val="18"/>
    </w:rPr>
  </w:style>
  <w:style w:type="character" w:customStyle="1" w:styleId="KeywordTok">
    <w:name w:val="KeywordTok"/>
    <w:basedOn w:val="VerbatimChar"/>
    <w:rPr>
      <w:rFonts w:ascii="Times New Roman" w:hAnsi="Times New Roman" w:eastAsia="Songti SC"/>
      <w:b/>
      <w:color w:val="000000"/>
    </w:rPr>
  </w:style>
  <w:style w:type="character" w:customStyle="1" w:styleId="DataTypeTok">
    <w:name w:val="DataTypeTok"/>
    <w:basedOn w:val="VerbatimChar"/>
    <w:rPr>
      <w:rFonts w:ascii="Times New Roman" w:hAnsi="Times New Roman" w:eastAsia="Songti SC"/>
      <w:color w:val="000000"/>
    </w:rPr>
  </w:style>
  <w:style w:type="character" w:customStyle="1" w:styleId="DecValTok">
    <w:name w:val="DecValTok"/>
    <w:basedOn w:val="VerbatimChar"/>
    <w:rPr>
      <w:rFonts w:ascii="Times New Roman" w:hAnsi="Times New Roman" w:eastAsia="Songti SC"/>
      <w:color w:val="000000"/>
    </w:rPr>
  </w:style>
  <w:style w:type="character" w:customStyle="1" w:styleId="BaseNTok">
    <w:name w:val="BaseNTok"/>
    <w:basedOn w:val="VerbatimChar"/>
    <w:rPr>
      <w:rFonts w:ascii="Times New Roman" w:hAnsi="Times New Roman" w:eastAsia="Songti SC"/>
      <w:color w:val="000000"/>
    </w:rPr>
  </w:style>
  <w:style w:type="character" w:customStyle="1" w:styleId="FloatTok">
    <w:name w:val="FloatTok"/>
    <w:basedOn w:val="VerbatimChar"/>
    <w:rPr>
      <w:rFonts w:ascii="Times New Roman" w:hAnsi="Times New Roman" w:eastAsia="Songti SC"/>
      <w:color w:val="000000"/>
    </w:rPr>
  </w:style>
  <w:style w:type="character" w:customStyle="1" w:styleId="ConstantTok">
    <w:name w:val="ConstantTok"/>
    <w:basedOn w:val="VerbatimChar"/>
    <w:rPr>
      <w:rFonts w:ascii="Times New Roman" w:hAnsi="Times New Roman" w:eastAsia="Songti SC"/>
      <w:color w:val="000000"/>
    </w:rPr>
  </w:style>
  <w:style w:type="character" w:customStyle="1" w:styleId="CharTok">
    <w:name w:val="CharTok"/>
    <w:basedOn w:val="VerbatimChar"/>
    <w:rPr>
      <w:rFonts w:ascii="Times New Roman" w:hAnsi="Times New Roman" w:eastAsia="Songti SC"/>
      <w:color w:val="000000"/>
    </w:rPr>
  </w:style>
  <w:style w:type="character" w:customStyle="1" w:styleId="SpecialCharTok">
    <w:name w:val="SpecialCharTok"/>
    <w:basedOn w:val="VerbatimChar"/>
    <w:rPr>
      <w:rFonts w:ascii="Times New Roman" w:hAnsi="Times New Roman" w:eastAsia="Songti SC"/>
      <w:color w:val="000000"/>
    </w:rPr>
  </w:style>
  <w:style w:type="character" w:customStyle="1" w:styleId="StringTok">
    <w:name w:val="StringTok"/>
    <w:basedOn w:val="VerbatimChar"/>
    <w:rPr>
      <w:rFonts w:ascii="Times New Roman" w:hAnsi="Times New Roman" w:eastAsia="Songti SC"/>
      <w:color w:val="000000"/>
    </w:rPr>
  </w:style>
  <w:style w:type="character" w:customStyle="1" w:styleId="VerbatimStringTok">
    <w:name w:val="VerbatimStringTok"/>
    <w:basedOn w:val="VerbatimChar"/>
    <w:rPr>
      <w:rFonts w:ascii="Times New Roman" w:hAnsi="Times New Roman" w:eastAsia="Songti SC"/>
      <w:color w:val="000000"/>
    </w:rPr>
  </w:style>
  <w:style w:type="character" w:customStyle="1" w:styleId="SpecialStringTok">
    <w:name w:val="SpecialStringTok"/>
    <w:basedOn w:val="VerbatimChar"/>
    <w:rPr>
      <w:rFonts w:ascii="Times New Roman" w:hAnsi="Times New Roman" w:eastAsia="Songti SC"/>
      <w:color w:val="000000"/>
    </w:rPr>
  </w:style>
  <w:style w:type="character" w:customStyle="1" w:styleId="ImportTok">
    <w:name w:val="ImportTok"/>
    <w:basedOn w:val="VerbatimChar"/>
    <w:rPr>
      <w:rFonts w:ascii="Times New Roman" w:hAnsi="Times New Roman" w:eastAsia="Songti SC"/>
      <w:b/>
      <w:color w:val="000000"/>
    </w:rPr>
  </w:style>
  <w:style w:type="character" w:customStyle="1" w:styleId="CommentTok">
    <w:name w:val="CommentTok"/>
    <w:basedOn w:val="VerbatimChar"/>
    <w:rPr>
      <w:rFonts w:ascii="Times New Roman" w:hAnsi="Times New Roman" w:eastAsia="Songti SC"/>
      <w:i/>
      <w:color w:val="000000"/>
    </w:rPr>
  </w:style>
  <w:style w:type="character" w:customStyle="1" w:styleId="DocumentationTok">
    <w:name w:val="DocumentationTok"/>
    <w:basedOn w:val="VerbatimChar"/>
    <w:rPr>
      <w:rFonts w:ascii="Times New Roman" w:hAnsi="Times New Roman" w:eastAsia="Songti SC"/>
      <w:i/>
      <w:color w:val="000000"/>
    </w:rPr>
  </w:style>
  <w:style w:type="character" w:customStyle="1" w:styleId="AnnotationTok">
    <w:name w:val="AnnotationTok"/>
    <w:basedOn w:val="VerbatimChar"/>
    <w:rPr>
      <w:rFonts w:ascii="Times New Roman" w:hAnsi="Times New Roman" w:eastAsia="Songti SC"/>
      <w:b/>
      <w:i/>
      <w:color w:val="000000"/>
    </w:rPr>
  </w:style>
  <w:style w:type="character" w:customStyle="1" w:styleId="CommentVarTok">
    <w:name w:val="CommentVarTok"/>
    <w:basedOn w:val="VerbatimChar"/>
    <w:rPr>
      <w:rFonts w:ascii="Times New Roman" w:hAnsi="Times New Roman" w:eastAsia="Songti SC"/>
      <w:b/>
      <w:i/>
      <w:color w:val="000000"/>
    </w:rPr>
  </w:style>
  <w:style w:type="character" w:customStyle="1" w:styleId="OtherTok">
    <w:name w:val="OtherTok"/>
    <w:basedOn w:val="VerbatimChar"/>
    <w:rPr>
      <w:rFonts w:ascii="Times New Roman" w:hAnsi="Times New Roman" w:eastAsia="Songti SC"/>
      <w:color w:val="000000"/>
    </w:rPr>
  </w:style>
  <w:style w:type="character" w:customStyle="1" w:styleId="FunctionTok">
    <w:name w:val="FunctionTok"/>
    <w:basedOn w:val="VerbatimChar"/>
    <w:rPr>
      <w:rFonts w:ascii="Times New Roman" w:hAnsi="Times New Roman" w:eastAsia="Songti SC"/>
      <w:color w:val="000000"/>
    </w:rPr>
  </w:style>
  <w:style w:type="character" w:customStyle="1" w:styleId="VariableTok">
    <w:name w:val="VariableTok"/>
    <w:basedOn w:val="VerbatimChar"/>
    <w:rPr>
      <w:rFonts w:ascii="Times New Roman" w:hAnsi="Times New Roman" w:eastAsia="Songti SC"/>
      <w:color w:val="000000"/>
    </w:rPr>
  </w:style>
  <w:style w:type="character" w:customStyle="1" w:styleId="ControlFlowTok">
    <w:name w:val="ControlFlowTok"/>
    <w:basedOn w:val="VerbatimChar"/>
    <w:rPr>
      <w:rFonts w:ascii="Times New Roman" w:hAnsi="Times New Roman" w:eastAsia="Songti SC"/>
      <w:b/>
      <w:color w:val="000000"/>
    </w:rPr>
  </w:style>
  <w:style w:type="character" w:customStyle="1" w:styleId="OperatorTok">
    <w:name w:val="OperatorTok"/>
    <w:basedOn w:val="VerbatimChar"/>
    <w:rPr>
      <w:rFonts w:ascii="Times New Roman" w:hAnsi="Times New Roman" w:eastAsia="Songti SC"/>
      <w:color w:val="000000"/>
    </w:rPr>
  </w:style>
  <w:style w:type="character" w:customStyle="1" w:styleId="BuiltInTok">
    <w:name w:val="BuiltInTok"/>
    <w:basedOn w:val="VerbatimChar"/>
    <w:rPr>
      <w:rFonts w:ascii="Times New Roman" w:hAnsi="Times New Roman" w:eastAsia="Songti SC"/>
      <w:color w:val="000000"/>
    </w:rPr>
  </w:style>
  <w:style w:type="character" w:customStyle="1" w:styleId="ExtensionTok">
    <w:name w:val="ExtensionTok"/>
    <w:basedOn w:val="VerbatimChar"/>
    <w:rPr>
      <w:rFonts w:ascii="Times New Roman" w:hAnsi="Times New Roman" w:eastAsia="Songti SC"/>
      <w:color w:val="000000"/>
    </w:rPr>
  </w:style>
  <w:style w:type="character" w:customStyle="1" w:styleId="PreprocessorTok">
    <w:name w:val="PreprocessorTok"/>
    <w:basedOn w:val="VerbatimChar"/>
    <w:rPr>
      <w:rFonts w:ascii="Times New Roman" w:hAnsi="Times New Roman" w:eastAsia="Songti SC"/>
      <w:color w:val="000000"/>
    </w:rPr>
  </w:style>
  <w:style w:type="character" w:customStyle="1" w:styleId="AttributeTok">
    <w:name w:val="AttributeTok"/>
    <w:basedOn w:val="VerbatimChar"/>
    <w:rPr>
      <w:rFonts w:ascii="Times New Roman" w:hAnsi="Times New Roman" w:eastAsia="Songti SC"/>
      <w:color w:val="000000"/>
    </w:rPr>
  </w:style>
  <w:style w:type="character" w:customStyle="1" w:styleId="RegionMarkerTok">
    <w:name w:val="RegionMarkerTok"/>
    <w:basedOn w:val="VerbatimChar"/>
    <w:rPr>
      <w:rFonts w:ascii="Times New Roman" w:hAnsi="Times New Roman" w:eastAsia="Songti SC"/>
      <w:color w:val="000000"/>
    </w:rPr>
  </w:style>
  <w:style w:type="character" w:customStyle="1" w:styleId="InformationTok">
    <w:name w:val="InformationTok"/>
    <w:basedOn w:val="VerbatimChar"/>
    <w:rPr>
      <w:rFonts w:ascii="Times New Roman" w:hAnsi="Times New Roman" w:eastAsia="Songti SC"/>
      <w:b/>
      <w:i/>
      <w:color w:val="000000"/>
    </w:rPr>
  </w:style>
  <w:style w:type="character" w:customStyle="1" w:styleId="WarningTok">
    <w:name w:val="WarningTok"/>
    <w:basedOn w:val="VerbatimChar"/>
    <w:rPr>
      <w:rFonts w:ascii="Times New Roman" w:hAnsi="Times New Roman" w:eastAsia="Songti SC"/>
      <w:b/>
      <w:i/>
      <w:color w:val="000000"/>
    </w:rPr>
  </w:style>
  <w:style w:type="character" w:customStyle="1" w:styleId="AlertTok">
    <w:name w:val="AlertTok"/>
    <w:basedOn w:val="VerbatimChar"/>
    <w:rPr>
      <w:rFonts w:ascii="Times New Roman" w:hAnsi="Times New Roman" w:eastAsia="Songti SC"/>
      <w:b/>
      <w:color w:val="000000"/>
    </w:rPr>
  </w:style>
  <w:style w:type="character" w:customStyle="1" w:styleId="ErrorTok">
    <w:name w:val="ErrorTok"/>
    <w:basedOn w:val="VerbatimChar"/>
    <w:rPr>
      <w:rFonts w:ascii="Times New Roman" w:hAnsi="Times New Roman" w:eastAsia="Songti SC"/>
      <w:b/>
      <w:color w:val="000000"/>
    </w:rPr>
  </w:style>
  <w:style w:type="character" w:customStyle="1" w:styleId="NormalTok">
    <w:name w:val="NormalTok"/>
    <w:basedOn w:val="VerbatimChar"/>
    <w:rPr>
      <w:rFonts w:ascii="Times New Roman" w:hAnsi="Times New Roman" w:eastAsia="Songti S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hyperlink" Target="https://doi.org/10.1088/1674-1137/abddae" TargetMode="External"/><Relationship Id="rId27" Type="http://schemas.openxmlformats.org/officeDocument/2006/relationships/hyperlink" Target="https://www-nds.iaea.org/amdc/ame2020/mass_1.mas20.txt" TargetMode="External"/><Relationship Id="rId29" Type="http://schemas.openxmlformats.org/officeDocument/2006/relationships/hyperlink" Target="https://www-nds.iaea.org/amdc/ame2020/nubase_4.mas20.txt" TargetMode="External"/><Relationship Id="rId30" Type="http://schemas.openxmlformats.org/officeDocument/2006/relationships/hyperlink" Target="https://www-nds.iaea.org/relnsd/vcharthtml/api_v0_guide.html"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doi.org/10.1088/1674-1137/abddae" TargetMode="External"/><Relationship Id="rId27" Type="http://schemas.openxmlformats.org/officeDocument/2006/relationships/hyperlink" Target="https://www-nds.iaea.org/amdc/ame2020/mass_1.mas20.txt" TargetMode="External"/><Relationship Id="rId29" Type="http://schemas.openxmlformats.org/officeDocument/2006/relationships/hyperlink" Target="https://www-nds.iaea.org/amdc/ame2020/nubase_4.mas20.txt" TargetMode="External"/><Relationship Id="rId30" Type="http://schemas.openxmlformats.org/officeDocument/2006/relationships/hyperlink" Target="https://www-nds.iaea.org/relnsd/vcharthtml/api_v0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回旋频率比较操作手册</dc:title>
  <dc:creator>TrapLab documentation</dc:creator>
  <cp:keywords/>
  <dcterms:created xsi:type="dcterms:W3CDTF">2026-10-24T02:49:35Z</dcterms:created>
  <dcterms:modified xsi:type="dcterms:W3CDTF">2026-10-24T02:49:35Z</dcterms:modified>
  <cp:lastModifiedBy>TrapLab documentation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2026-10-24</vt:lpwstr>
  </property>
  <property fmtid="{D5CDD505-2E9C-101B-9397-08002B2CF9AE}" pid="4" name="documentclass">
    <vt:lpwstr>revtex4-2</vt:lpwstr>
  </property>
</Properties>
</file>