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Mathieu</w:t>
      </w:r>
      <w:r>
        <w:t xml:space="preserve"> </w:t>
      </w:r>
      <w:r>
        <w:t xml:space="preserve">稳定性操作手册</w:t>
      </w:r>
    </w:p>
    <w:p>
      <w:pPr>
        <w:pStyle w:val="Author"/>
      </w:pPr>
      <w:r>
        <w:t xml:space="preserve">TrapLab</w:t>
      </w:r>
      <w:r>
        <w:t xml:space="preserve"> </w:t>
      </w:r>
      <w:r>
        <w:t xml:space="preserve">documentation</w:t>
      </w:r>
    </w:p>
    <w:p>
      <w:pPr>
        <w:pStyle w:val="Date"/>
      </w:pPr>
      <w:r>
        <w:t xml:space="preserve">2026-10-24</w:t>
      </w:r>
    </w:p>
    <w:p>
      <w:pPr>
        <w:pStyle w:val="FirstParagraph"/>
      </w:pPr>
      <w:r>
        <w:t xml:space="preserve">本手册说明网页与已安装配套应用中的独立 Mathieu 稳定带工具。它计算理想场中解的有界性；稳定点不等于实测传输率、冷却效率或电极通行率。原有 Keep the ions 轨迹游戏仍为独立演示。</w:t>
      </w:r>
    </w:p>
    <w:bookmarkStart w:id="20" w:name="第一次计算"/>
    <w:p>
      <w:pPr>
        <w:pStyle w:val="Heading2"/>
      </w:pPr>
      <w:r>
        <w:t xml:space="preserve">第一次计算</w:t>
      </w:r>
    </w:p>
    <w:p>
      <w:pPr>
        <w:numPr>
          <w:ilvl w:val="0"/>
          <w:numId w:val="1001"/>
        </w:numPr>
        <w:pStyle w:val="Compact"/>
      </w:pPr>
      <w:r>
        <w:t xml:space="preserve">打开 Games 中的 Keep the ions，选择 Mathieu bands；Lab 也提供同一独立工具。选择线性 RFQ、直接参数、三个稳定带，横轴上限 2，纵轴 −1 到 1。</w:t>
      </w:r>
    </w:p>
    <w:p>
      <w:pPr>
        <w:numPr>
          <w:ilvl w:val="0"/>
          <w:numId w:val="1001"/>
        </w:numPr>
        <w:pStyle w:val="Compact"/>
      </w:pPr>
      <w:r>
        <w:t xml:space="preserve">输入</w:t>
      </w:r>
      <w:r>
        <w:t xml:space="preserve"> </w:t>
      </w:r>
      <m:oMath>
        <m:r>
          <m:t>a</m:t>
        </m:r>
        <m:r>
          <m:rPr>
            <m:sty m:val="p"/>
          </m:rPr>
          <m:t>=</m:t>
        </m:r>
        <m:r>
          <m:t>0</m:t>
        </m:r>
      </m:oMath>
      <w:r>
        <w:t xml:space="preserve">、</w:t>
      </w:r>
      <m:oMath>
        <m:r>
          <m:t>q</m:t>
        </m:r>
        <m:r>
          <m:rPr>
            <m:sty m:val="p"/>
          </m:rPr>
          <m:t>=</m:t>
        </m:r>
        <m:r>
          <m:t>0.4</m:t>
        </m:r>
      </m:oMath>
      <w:r>
        <w:t xml:space="preserve">。两个横向平面均应显示第一带稳定。改变参数后分别读取各平面的状态，不要只凭填色判断。</w:t>
      </w:r>
    </w:p>
    <w:p>
      <w:pPr>
        <w:numPr>
          <w:ilvl w:val="0"/>
          <w:numId w:val="1001"/>
        </w:numPr>
        <w:pStyle w:val="Compact"/>
      </w:pPr>
      <w:r>
        <w:t xml:space="preserve">切换到电压模式。设置离子质量 100 u、电荷数 1、</w:t>
      </w:r>
      <m:oMath>
        <m:r>
          <m:t>U</m:t>
        </m:r>
        <m:r>
          <m:rPr>
            <m:sty m:val="p"/>
          </m:rPr>
          <m:t>=</m:t>
        </m:r>
        <m:r>
          <m:t>0</m:t>
        </m:r>
      </m:oMath>
      <w:r>
        <w:t xml:space="preserve"> </w:t>
      </w:r>
      <w:r>
        <w:t xml:space="preserve">V、</w:t>
      </w:r>
      <m:oMath>
        <m:r>
          <m:t>V</m:t>
        </m:r>
        <m:r>
          <m:rPr>
            <m:sty m:val="p"/>
          </m:rPr>
          <m:t>=</m:t>
        </m:r>
        <m:r>
          <m:t>122</m:t>
        </m:r>
      </m:oMath>
      <w:r>
        <w:t xml:space="preserve"> </w:t>
      </w:r>
      <w:r>
        <w:t xml:space="preserve">V、</w:t>
      </w:r>
      <m:oMath>
        <m:sSub>
          <m:e>
            <m:r>
              <m:t>r</m:t>
            </m:r>
          </m:e>
          <m:sub>
            <m:r>
              <m:t>0</m:t>
            </m:r>
          </m:sub>
        </m:sSub>
        <m:r>
          <m:rPr>
            <m:sty m:val="p"/>
          </m:rPr>
          <m:t>=</m:t>
        </m:r>
        <m:r>
          <m:t>10</m:t>
        </m:r>
      </m:oMath>
      <w:r>
        <w:t xml:space="preserve"> </w:t>
      </w:r>
      <w:r>
        <w:t xml:space="preserve">mm、</w:t>
      </w:r>
      <m:oMath>
        <m:r>
          <m:t>f</m:t>
        </m:r>
        <m:r>
          <m:rPr>
            <m:sty m:val="p"/>
          </m:rPr>
          <m:t>=</m:t>
        </m:r>
        <m:r>
          <m:t>1.3</m:t>
        </m:r>
      </m:oMath>
      <w:r>
        <w:t xml:space="preserve"> </w:t>
      </w:r>
      <w:r>
        <w:t xml:space="preserve">MHz。应得到</w:t>
      </w:r>
      <w:r>
        <w:t xml:space="preserve"> </w:t>
      </w:r>
      <m:oMath>
        <m:r>
          <m:t>a</m:t>
        </m:r>
        <m:r>
          <m:rPr>
            <m:sty m:val="p"/>
          </m:rPr>
          <m:t>=</m:t>
        </m:r>
        <m:r>
          <m:t>0</m:t>
        </m:r>
      </m:oMath>
      <w:r>
        <w:t xml:space="preserve">、</w:t>
      </w:r>
      <m:oMath>
        <m:r>
          <m:t>q</m:t>
        </m:r>
        <m:r>
          <m:rPr>
            <m:sty m:val="p"/>
          </m:rPr>
          <m:t>≃</m:t>
        </m:r>
        <m:r>
          <m:t>0.07057237</m:t>
        </m:r>
      </m:oMath>
      <w:r>
        <w:t xml:space="preserve">。出厂电压输入的 DC 为</w:t>
      </w:r>
      <w:r>
        <w:t xml:space="preserve"> </w:t>
      </w:r>
      <m:oMath>
        <m:r>
          <m:t>U</m:t>
        </m:r>
        <m:r>
          <m:rPr>
            <m:sty m:val="p"/>
          </m:rPr>
          <m:t>=</m:t>
        </m:r>
        <m:r>
          <m:t>3</m:t>
        </m:r>
      </m:oMath>
      <w:r>
        <w:t xml:space="preserve"> </w:t>
      </w:r>
      <w:r>
        <w:t xml:space="preserve">V，对应</w:t>
      </w:r>
      <w:r>
        <w:t xml:space="preserve"> </w:t>
      </w:r>
      <m:oMath>
        <m:r>
          <m:t>a</m:t>
        </m:r>
        <m:r>
          <m:rPr>
            <m:sty m:val="p"/>
          </m:rPr>
          <m:t>≃</m:t>
        </m:r>
        <m:r>
          <m:t>0.00347077</m:t>
        </m:r>
      </m:oMath>
      <w:r>
        <w:t xml:space="preserve">；不能假定默认点在两个平面都稳定。</w:t>
      </w:r>
    </w:p>
    <w:p>
      <w:pPr>
        <w:numPr>
          <w:ilvl w:val="0"/>
          <w:numId w:val="1001"/>
        </w:numPr>
        <w:pStyle w:val="Compact"/>
      </w:pPr>
      <w:r>
        <w:t xml:space="preserve">分别修改三段 RFQ 的参数。冷却段默认值为 3 V、122 V、10 mm、1.3 MHz；质量过滤段与聚束段各为 3 V、244 V、3.75 mm、3 MHz。读取各自的运行线与离子点。这些叠加只适用于线性 RFQ。</w:t>
      </w:r>
    </w:p>
    <w:p>
      <w:pPr>
        <w:numPr>
          <w:ilvl w:val="0"/>
          <w:numId w:val="1001"/>
        </w:numPr>
        <w:pStyle w:val="Compact"/>
      </w:pPr>
      <w:r>
        <w:t xml:space="preserve">打开图形样式，调整文字、参考点直径、线宽、位图宽度与文件名前缀。它们只改变显示。保存设置 JSON，改变输入，再读取该文件，核对输入、坐标轴与样式已恢复。</w:t>
      </w:r>
    </w:p>
    <w:p>
      <w:pPr>
        <w:pStyle w:val="FirstParagraph"/>
      </w:pPr>
      <w:r>
        <w:t xml:space="preserve">Species 与 Fill ion mass 按钮显式调用既有核素目录填入离子质量；仅输入粒子名称不会自动填充。质量和电荷仍可手动编辑。采用评价质量时，应保留返回的来源记录。</w:t>
      </w:r>
    </w:p>
    <w:bookmarkEnd w:id="20"/>
    <w:bookmarkStart w:id="21" w:name="方程与电压约定"/>
    <w:p>
      <w:pPr>
        <w:pStyle w:val="Heading2"/>
      </w:pPr>
      <w:r>
        <w:t xml:space="preserve">方程与电压约定</w:t>
      </w:r>
    </w:p>
    <w:p>
      <w:pPr>
        <w:pStyle w:val="FirstParagraph"/>
      </w:pPr>
      <w:r>
        <w:t xml:space="preserve">独立变量和标准方程为</w:t>
      </w:r>
    </w:p>
    <w:p>
      <w:pPr>
        <w:pStyle w:val="BodyText"/>
      </w:pPr>
      <m:oMathPara>
        <m:oMathParaPr>
          <m:jc m:val="center"/>
        </m:oMathParaPr>
        <m:oMath>
          <m:r>
            <m:t>τ</m:t>
          </m:r>
          <m:r>
            <m:rPr>
              <m:sty m:val="p"/>
            </m:rPr>
            <m:t>=</m:t>
          </m:r>
          <m:f>
            <m:fPr>
              <m:type m:val="bar"/>
            </m:fPr>
            <m:num>
              <m:r>
                <m:t>Ω</m:t>
              </m:r>
              <m:r>
                <m:t>t</m:t>
              </m:r>
            </m:num>
            <m:den>
              <m:r>
                <m:t>2</m:t>
              </m:r>
            </m:den>
          </m:f>
          <m:r>
            <m:rPr>
              <m:sty m:val="p"/>
            </m:rPr>
            <m:t>,</m:t>
          </m:r>
          <m:r>
            <m:t>  </m:t>
          </m:r>
          <m:r>
            <m:t>Ω</m:t>
          </m:r>
          <m:r>
            <m:rPr>
              <m:sty m:val="p"/>
            </m:rPr>
            <m:t>=</m:t>
          </m:r>
          <m:r>
            <m:t>2</m:t>
          </m:r>
          <m:r>
            <m:t>π</m:t>
          </m:r>
          <m:r>
            <m:t>f</m:t>
          </m:r>
          <m:r>
            <m:rPr>
              <m:sty m:val="p"/>
            </m:rPr>
            <m:t>,</m:t>
          </m:r>
        </m:oMath>
      </m:oMathPara>
    </w:p>
    <w:p>
      <w:pPr>
        <w:pStyle w:val="FirstParagraph"/>
      </w:pPr>
      <m:oMathPara>
        <m:oMathParaPr>
          <m:jc m:val="center"/>
        </m:oMathParaPr>
        <m:oMath>
          <m:f>
            <m:fPr>
              <m:type m:val="bar"/>
            </m:fPr>
            <m:num>
              <m:sSup>
                <m:e>
                  <m:r>
                    <m:t>d</m:t>
                  </m:r>
                </m:e>
                <m:sup>
                  <m:r>
                    <m:t>2</m:t>
                  </m:r>
                </m:sup>
              </m:sSup>
              <m:r>
                <m:t>w</m:t>
              </m:r>
            </m:num>
            <m:den>
              <m:r>
                <m:t>d</m:t>
              </m:r>
              <m:sSup>
                <m:e>
                  <m:r>
                    <m:t>τ</m:t>
                  </m:r>
                </m:e>
                <m:sup>
                  <m:r>
                    <m:t>2</m:t>
                  </m:r>
                </m:sup>
              </m:sSup>
            </m:den>
          </m:f>
          <m:r>
            <m:rPr>
              <m:sty m:val="p"/>
            </m:rPr>
            <m:t>+</m:t>
          </m:r>
          <m:d>
            <m:dPr>
              <m:begChr m:val="["/>
              <m:endChr m:val="]"/>
              <m:sepChr m:val=""/>
              <m:grow/>
            </m:dPr>
            <m:e>
              <m:r>
                <m:t>a</m:t>
              </m:r>
              <m:r>
                <m:rPr>
                  <m:sty m:val="p"/>
                </m:rPr>
                <m:t>−</m:t>
              </m:r>
              <m:r>
                <m:t>2</m:t>
              </m:r>
              <m:r>
                <m:t>q</m:t>
              </m:r>
              <m:r>
                <m:rPr>
                  <m:sty m:val="p"/>
                </m:rPr>
                <m:t>cos</m:t>
              </m:r>
              <m:d>
                <m:dPr>
                  <m:begChr m:val="("/>
                  <m:endChr m:val=")"/>
                  <m:sepChr m:val=""/>
                  <m:grow/>
                </m:dPr>
                <m:e>
                  <m:r>
                    <m:t>2</m:t>
                  </m:r>
                  <m:r>
                    <m:t>τ</m:t>
                  </m:r>
                </m:e>
              </m:d>
            </m:e>
          </m:d>
          <m:r>
            <m:t>w</m:t>
          </m:r>
          <m:r>
            <m:rPr>
              <m:sty m:val="p"/>
            </m:rPr>
            <m:t>=</m:t>
          </m:r>
          <m:r>
            <m:t>0</m:t>
          </m:r>
          <m:r>
            <m:rPr>
              <m:sty m:val="p"/>
            </m:rPr>
            <m:t>.</m:t>
          </m:r>
        </m:oMath>
      </m:oMathPara>
    </w:p>
    <w:p>
      <w:pPr>
        <w:pStyle w:val="FirstParagraph"/>
      </w:pPr>
      <w:r>
        <w:t xml:space="preserve">本线性杆电极工具采用</w:t>
      </w:r>
    </w:p>
    <w:p>
      <w:pPr>
        <w:pStyle w:val="BodyText"/>
      </w:pPr>
      <m:oMathPara>
        <m:oMathParaPr>
          <m:jc m:val="center"/>
        </m:oMathParaPr>
        <m:oMath>
          <m:r>
            <m:t>a</m:t>
          </m:r>
          <m:r>
            <m:rPr>
              <m:sty m:val="p"/>
            </m:rPr>
            <m:t>=</m:t>
          </m:r>
          <m:f>
            <m:fPr>
              <m:type m:val="bar"/>
            </m:fPr>
            <m:num>
              <m:r>
                <m:t>8</m:t>
              </m:r>
              <m:r>
                <m:t>z</m:t>
              </m:r>
              <m:r>
                <m:t>e</m:t>
              </m:r>
              <m:r>
                <m:t>U</m:t>
              </m:r>
            </m:num>
            <m:den>
              <m:r>
                <m:t>m</m:t>
              </m:r>
              <m:sSubSup>
                <m:e>
                  <m:r>
                    <m:t>r</m:t>
                  </m:r>
                </m:e>
                <m:sub>
                  <m:r>
                    <m:t>0</m:t>
                  </m:r>
                </m:sub>
                <m:sup>
                  <m:r>
                    <m:t>2</m:t>
                  </m:r>
                </m:sup>
              </m:sSubSup>
              <m:sSup>
                <m:e>
                  <m:r>
                    <m:t>Ω</m:t>
                  </m:r>
                </m:e>
                <m:sup>
                  <m:r>
                    <m:t>2</m:t>
                  </m:r>
                </m:sup>
              </m:sSup>
            </m:den>
          </m:f>
          <m:r>
            <m:rPr>
              <m:sty m:val="p"/>
            </m:rPr>
            <m:t>,</m:t>
          </m:r>
          <m:r>
            <m:t>  </m:t>
          </m:r>
          <m:r>
            <m:t>q</m:t>
          </m:r>
          <m:r>
            <m:rPr>
              <m:sty m:val="p"/>
            </m:rPr>
            <m:t>=</m:t>
          </m:r>
          <m:f>
            <m:fPr>
              <m:type m:val="bar"/>
            </m:fPr>
            <m:num>
              <m:r>
                <m:t>4</m:t>
              </m:r>
              <m:r>
                <m:t>z</m:t>
              </m:r>
              <m:r>
                <m:t>e</m:t>
              </m:r>
              <m:r>
                <m:t>V</m:t>
              </m:r>
            </m:num>
            <m:den>
              <m:r>
                <m:t>m</m:t>
              </m:r>
              <m:sSubSup>
                <m:e>
                  <m:r>
                    <m:t>r</m:t>
                  </m:r>
                </m:e>
                <m:sub>
                  <m:r>
                    <m:t>0</m:t>
                  </m:r>
                </m:sub>
                <m:sup>
                  <m:r>
                    <m:t>2</m:t>
                  </m:r>
                </m:sup>
              </m:sSubSup>
              <m:sSup>
                <m:e>
                  <m:r>
                    <m:t>Ω</m:t>
                  </m:r>
                </m:e>
                <m:sup>
                  <m:r>
                    <m:t>2</m:t>
                  </m:r>
                </m:sup>
              </m:sSup>
            </m:den>
          </m:f>
          <m:r>
            <m:rPr>
              <m:sty m:val="p"/>
            </m:rPr>
            <m:t>.</m:t>
          </m:r>
        </m:oMath>
      </m:oMathPara>
    </w:p>
    <w:p>
      <w:pPr>
        <w:pStyle w:val="FirstParagraph"/>
      </w:pPr>
      <m:oMath>
        <m:r>
          <m:t>z</m:t>
        </m:r>
      </m:oMath>
      <w:r>
        <w:t xml:space="preserve"> </w:t>
      </w:r>
      <w:r>
        <w:t xml:space="preserve">为正整数电荷数，</w:t>
      </w:r>
      <m:oMath>
        <m:r>
          <m:t>e</m:t>
        </m:r>
      </m:oMath>
      <w:r>
        <w:t xml:space="preserve"> </w:t>
      </w:r>
      <w:r>
        <w:t xml:space="preserve">为元电荷，</w:t>
      </w:r>
      <m:oMath>
        <m:r>
          <m:t>m</m:t>
        </m:r>
      </m:oMath>
      <w:r>
        <w:t xml:space="preserve"> </w:t>
      </w:r>
      <w:r>
        <w:t xml:space="preserve">为以 kg 表示的实际离子质量。界面输入 u、mm、MHz，并转换到 SI。</w:t>
      </w:r>
      <m:oMath>
        <m:r>
          <m:t>U</m:t>
        </m:r>
      </m:oMath>
      <w:r>
        <w:t xml:space="preserve"> </w:t>
      </w:r>
      <w:r>
        <w:t xml:space="preserve">是有符号 DC 电压，</w:t>
      </w:r>
      <m:oMath>
        <m:r>
          <m:t>V</m:t>
        </m:r>
      </m:oMath>
      <w:r>
        <w:t xml:space="preserve"> </w:t>
      </w:r>
      <w:r>
        <w:t xml:space="preserve">是单根电极对地 RF 峰值；两组电极间的差分 RF 峰值为</w:t>
      </w:r>
      <w:r>
        <w:t xml:space="preserve"> </w:t>
      </w:r>
      <m:oMath>
        <m:r>
          <m:t>2</m:t>
        </m:r>
        <m:r>
          <m:t>V</m:t>
        </m:r>
      </m:oMath>
      <w:r>
        <w:t xml:space="preserve">。有效值或峰峰值必须先转换，不能直接代入。</w:t>
      </w:r>
    </w:p>
    <w:p>
      <w:pPr>
        <w:pStyle w:val="BodyText"/>
      </w:pPr>
      <w:r>
        <w:t xml:space="preserve">另一横向平面的参数为</w:t>
      </w:r>
    </w:p>
    <w:p>
      <w:pPr>
        <w:pStyle w:val="BodyText"/>
      </w:pPr>
      <m:oMathPara>
        <m:oMathParaPr>
          <m:jc m:val="center"/>
        </m:oMathParaPr>
        <m:oMath>
          <m:sSub>
            <m:e>
              <m:r>
                <m:t>a</m:t>
              </m:r>
            </m:e>
            <m:sub>
              <m:r>
                <m:t>y</m:t>
              </m:r>
            </m:sub>
          </m:sSub>
          <m:r>
            <m:rPr>
              <m:sty m:val="p"/>
            </m:rPr>
            <m:t>=</m:t>
          </m:r>
          <m:r>
            <m:rPr>
              <m:sty m:val="p"/>
            </m:rPr>
            <m:t>−</m:t>
          </m:r>
          <m:sSub>
            <m:e>
              <m:r>
                <m:t>a</m:t>
              </m:r>
            </m:e>
            <m:sub>
              <m:r>
                <m:t>x</m:t>
              </m:r>
            </m:sub>
          </m:sSub>
          <m:r>
            <m:rPr>
              <m:sty m:val="p"/>
            </m:rPr>
            <m:t>,</m:t>
          </m:r>
          <m:r>
            <m:t>  </m:t>
          </m:r>
          <m:sSub>
            <m:e>
              <m:r>
                <m:t>q</m:t>
              </m:r>
            </m:e>
            <m:sub>
              <m:r>
                <m:t>y</m:t>
              </m:r>
            </m:sub>
          </m:sSub>
          <m:r>
            <m:rPr>
              <m:sty m:val="p"/>
            </m:rPr>
            <m:t>=</m:t>
          </m:r>
          <m:r>
            <m:rPr>
              <m:sty m:val="p"/>
            </m:rPr>
            <m:t>−</m:t>
          </m:r>
          <m:sSub>
            <m:e>
              <m:r>
                <m:t>q</m:t>
              </m:r>
            </m:e>
            <m:sub>
              <m:r>
                <m:t>x</m:t>
              </m:r>
            </m:sub>
          </m:sSub>
          <m:r>
            <m:rPr>
              <m:sty m:val="p"/>
            </m:rPr>
            <m:t>.</m:t>
          </m:r>
        </m:oMath>
      </m:oMathPara>
    </w:p>
    <w:p>
      <w:pPr>
        <w:pStyle w:val="FirstParagraph"/>
      </w:pPr>
      <w:r>
        <w:t xml:space="preserve">理想横向约束要求两个平面均稳定。半径或频率减小会使参数按平方比例增大。电荷数范围为 1 到 100 的整数；质量、半径和频率必须有限且为正，RF 峰值不得为负。</w:t>
      </w:r>
    </w:p>
    <w:bookmarkEnd w:id="21"/>
    <w:bookmarkStart w:id="22" w:name="多稳定带与独立三维视图"/>
    <w:p>
      <w:pPr>
        <w:pStyle w:val="Heading2"/>
      </w:pPr>
      <w:r>
        <w:t xml:space="preserve">多稳定带与独立三维视图</w:t>
      </w:r>
    </w:p>
    <w:p>
      <w:pPr>
        <w:pStyle w:val="FirstParagraph"/>
      </w:pPr>
      <w:r>
        <w:t xml:space="preserve">对于非零实数</w:t>
      </w:r>
      <w:r>
        <w:t xml:space="preserve"> </w:t>
      </w:r>
      <m:oMath>
        <m:r>
          <m:t>q</m:t>
        </m:r>
      </m:oMath>
      <w:r>
        <w:t xml:space="preserve">，一维稳定带编号为</w:t>
      </w:r>
      <w:r>
        <w:t xml:space="preserve"> </w:t>
      </w:r>
      <m:oMath>
        <m:r>
          <m:t>n</m:t>
        </m:r>
        <m:r>
          <m:rPr>
            <m:sty m:val="p"/>
          </m:rPr>
          <m:t>=</m:t>
        </m:r>
        <m:r>
          <m:t>0</m:t>
        </m:r>
        <m:r>
          <m:rPr>
            <m:sty m:val="p"/>
          </m:rPr>
          <m:t>,</m:t>
        </m:r>
        <m:r>
          <m:rPr>
            <m:sty m:val="p"/>
          </m:rPr>
          <m:t>…</m:t>
        </m:r>
        <m:r>
          <m:rPr>
            <m:sty m:val="p"/>
          </m:rPr>
          <m:t>,</m:t>
        </m:r>
        <m:r>
          <m:t>N</m:t>
        </m:r>
        <m:r>
          <m:rPr>
            <m:sty m:val="p"/>
          </m:rPr>
          <m:t>−</m:t>
        </m:r>
        <m:r>
          <m:t>1</m:t>
        </m:r>
      </m:oMath>
      <w:r>
        <w:t xml:space="preserve">，并满足</w:t>
      </w:r>
    </w:p>
    <w:p>
      <w:pPr>
        <w:pStyle w:val="BodyText"/>
      </w:pPr>
      <m:oMathPara>
        <m:oMathParaPr>
          <m:jc m:val="center"/>
        </m:oMathParaPr>
        <m:oMath>
          <m:sSub>
            <m:e>
              <m:r>
                <m:t>a</m:t>
              </m:r>
            </m:e>
            <m:sub>
              <m:r>
                <m:t>n</m:t>
              </m:r>
            </m:sub>
          </m:sSub>
          <m:d>
            <m:dPr>
              <m:begChr m:val="("/>
              <m:endChr m:val=")"/>
              <m:sepChr m:val=""/>
              <m:grow/>
            </m:dPr>
            <m:e>
              <m:d>
                <m:dPr>
                  <m:begChr m:val="|"/>
                  <m:endChr m:val="|"/>
                  <m:sepChr m:val=""/>
                  <m:grow/>
                </m:dPr>
                <m:e>
                  <m:r>
                    <m:t>q</m:t>
                  </m:r>
                </m:e>
              </m:d>
            </m:e>
          </m:d>
          <m:r>
            <m:rPr>
              <m:sty m:val="p"/>
            </m:rPr>
            <m:t>&lt;</m:t>
          </m:r>
          <m:r>
            <m:t>a</m:t>
          </m:r>
          <m:r>
            <m:rPr>
              <m:sty m:val="p"/>
            </m:rPr>
            <m:t>&lt;</m:t>
          </m:r>
          <m:sSub>
            <m:e>
              <m:r>
                <m:t>b</m:t>
              </m:r>
            </m:e>
            <m:sub>
              <m:r>
                <m:t>n</m:t>
              </m:r>
              <m:r>
                <m:rPr>
                  <m:sty m:val="p"/>
                </m:rPr>
                <m:t>+</m:t>
              </m:r>
              <m:r>
                <m:t>1</m:t>
              </m:r>
            </m:sub>
          </m:sSub>
          <m:d>
            <m:dPr>
              <m:begChr m:val="("/>
              <m:endChr m:val=")"/>
              <m:sepChr m:val=""/>
              <m:grow/>
            </m:dPr>
            <m:e>
              <m:d>
                <m:dPr>
                  <m:begChr m:val="|"/>
                  <m:endChr m:val="|"/>
                  <m:sepChr m:val=""/>
                  <m:grow/>
                </m:dPr>
                <m:e>
                  <m:r>
                    <m:t>q</m:t>
                  </m:r>
                </m:e>
              </m:d>
            </m:e>
          </m:d>
          <m:r>
            <m:rPr>
              <m:sty m:val="p"/>
            </m:rPr>
            <m:t>.</m:t>
          </m:r>
        </m:oMath>
      </m:oMathPara>
    </w:p>
    <w:p>
      <w:pPr>
        <w:pStyle w:val="FirstParagraph"/>
      </w:pPr>
      <w:r>
        <w:t xml:space="preserve">界面支持一到六个稳定带以及</w:t>
      </w:r>
      <w:r>
        <w:t xml:space="preserve"> </w:t>
      </w:r>
      <m:oMath>
        <m:d>
          <m:dPr>
            <m:begChr m:val="|"/>
            <m:endChr m:val="|"/>
            <m:sepChr m:val=""/>
            <m:grow/>
          </m:dPr>
          <m:e>
            <m:r>
              <m:t>q</m:t>
            </m:r>
          </m:e>
        </m:d>
        <m:r>
          <m:rPr>
            <m:sty m:val="p"/>
          </m:rPr>
          <m:t>≤</m:t>
        </m:r>
        <m:r>
          <m:t>12</m:t>
        </m:r>
      </m:oMath>
      <w:r>
        <w:t xml:space="preserve">，边界单独标识。高于已计算稳定带或超出参数范围时显示覆盖范围之外，而不是已证明不稳定。在</w:t>
      </w:r>
      <w:r>
        <w:t xml:space="preserve"> </w:t>
      </w:r>
      <m:oMath>
        <m:r>
          <m:t>q</m:t>
        </m:r>
        <m:r>
          <m:rPr>
            <m:sty m:val="p"/>
          </m:rPr>
          <m:t>=</m:t>
        </m:r>
        <m:r>
          <m:t>0</m:t>
        </m:r>
      </m:oMath>
      <w:r>
        <w:t xml:space="preserve"> </w:t>
      </w:r>
      <w:r>
        <w:t xml:space="preserve">时，正</w:t>
      </w:r>
      <w:r>
        <w:t xml:space="preserve"> </w:t>
      </w:r>
      <m:oMath>
        <m:r>
          <m:t>a</m:t>
        </m:r>
      </m:oMath>
      <w:r>
        <w:t xml:space="preserve"> </w:t>
      </w:r>
      <w:r>
        <w:t xml:space="preserve">采用解析稳定判断；</w:t>
      </w:r>
      <m:oMath>
        <m:d>
          <m:dPr>
            <m:begChr m:val="("/>
            <m:endChr m:val=")"/>
            <m:sepChr m:val=""/>
            <m:grow/>
          </m:dPr>
          <m:e>
            <m:r>
              <m:t>0</m:t>
            </m:r>
            <m:r>
              <m:rPr>
                <m:sty m:val="p"/>
              </m:rPr>
              <m:t>,</m:t>
            </m:r>
            <m:r>
              <m:t>0</m:t>
            </m:r>
          </m:e>
        </m:d>
      </m:oMath>
      <w:r>
        <w:t xml:space="preserve"> </w:t>
      </w:r>
      <w:r>
        <w:t xml:space="preserve">为边界。</w:t>
      </w:r>
    </w:p>
    <w:p>
      <w:pPr>
        <w:pStyle w:val="BodyText"/>
      </w:pPr>
      <w:r>
        <w:t xml:space="preserve">三维 Paul 视图仅接受直接轴向参数，并使用</w:t>
      </w:r>
    </w:p>
    <w:p>
      <w:pPr>
        <w:pStyle w:val="BodyText"/>
      </w:pPr>
      <m:oMathPara>
        <m:oMathParaPr>
          <m:jc m:val="center"/>
        </m:oMathParaPr>
        <m:oMath>
          <m:sSub>
            <m:e>
              <m:r>
                <m:t>a</m:t>
              </m:r>
            </m:e>
            <m:sub>
              <m:r>
                <m:t>r</m:t>
              </m:r>
            </m:sub>
          </m:sSub>
          <m:r>
            <m:rPr>
              <m:sty m:val="p"/>
            </m:rPr>
            <m:t>=</m:t>
          </m:r>
          <m:r>
            <m:rPr>
              <m:sty m:val="p"/>
            </m:rPr>
            <m:t>−</m:t>
          </m:r>
          <m:f>
            <m:fPr>
              <m:type m:val="bar"/>
            </m:fPr>
            <m:num>
              <m:sSub>
                <m:e>
                  <m:r>
                    <m:t>a</m:t>
                  </m:r>
                </m:e>
                <m:sub>
                  <m:r>
                    <m:t>z</m:t>
                  </m:r>
                </m:sub>
              </m:sSub>
            </m:num>
            <m:den>
              <m:r>
                <m:t>2</m:t>
              </m:r>
            </m:den>
          </m:f>
          <m:r>
            <m:rPr>
              <m:sty m:val="p"/>
            </m:rPr>
            <m:t>,</m:t>
          </m:r>
          <m:r>
            <m:t>  </m:t>
          </m:r>
          <m:sSub>
            <m:e>
              <m:r>
                <m:t>q</m:t>
              </m:r>
            </m:e>
            <m:sub>
              <m:r>
                <m:t>r</m:t>
              </m:r>
            </m:sub>
          </m:sSub>
          <m:r>
            <m:rPr>
              <m:sty m:val="p"/>
            </m:rPr>
            <m:t>=</m:t>
          </m:r>
          <m:r>
            <m:rPr>
              <m:sty m:val="p"/>
            </m:rPr>
            <m:t>−</m:t>
          </m:r>
          <m:f>
            <m:fPr>
              <m:type m:val="bar"/>
            </m:fPr>
            <m:num>
              <m:sSub>
                <m:e>
                  <m:r>
                    <m:t>q</m:t>
                  </m:r>
                </m:e>
                <m:sub>
                  <m:r>
                    <m:t>z</m:t>
                  </m:r>
                </m:sub>
              </m:sSub>
            </m:num>
            <m:den>
              <m:r>
                <m:t>2</m:t>
              </m:r>
            </m:den>
          </m:f>
          <m:r>
            <m:rPr>
              <m:sty m:val="p"/>
            </m:rPr>
            <m:t>.</m:t>
          </m:r>
        </m:oMath>
      </m:oMathPara>
    </w:p>
    <w:p>
      <w:pPr>
        <w:pStyle w:val="FirstParagraph"/>
      </w:pPr>
      <w:r>
        <w:t xml:space="preserve">因此在轴向坐标中，径向边界写为</w:t>
      </w:r>
    </w:p>
    <w:p>
      <w:pPr>
        <w:pStyle w:val="BodyText"/>
      </w:pPr>
      <m:oMathPara>
        <m:oMathParaPr>
          <m:jc m:val="center"/>
        </m:oMathParaPr>
        <m:oMath>
          <m:r>
            <m:rPr>
              <m:sty m:val="p"/>
            </m:rPr>
            <m:t>−</m:t>
          </m:r>
          <m:r>
            <m:t>2</m:t>
          </m:r>
          <m:sSub>
            <m:e>
              <m:r>
                <m:t>a</m:t>
              </m:r>
            </m:e>
            <m:sub>
              <m:r>
                <m:t>n</m:t>
              </m:r>
            </m:sub>
          </m:sSub>
          <m:d>
            <m:dPr>
              <m:begChr m:val="("/>
              <m:endChr m:val=")"/>
              <m:sepChr m:val=""/>
              <m:grow/>
            </m:dPr>
            <m:e>
              <m:d>
                <m:dPr>
                  <m:begChr m:val="|"/>
                  <m:endChr m:val="|"/>
                  <m:sepChr m:val=""/>
                  <m:grow/>
                </m:dPr>
                <m:e>
                  <m:sSub>
                    <m:e>
                      <m:r>
                        <m:t>q</m:t>
                      </m:r>
                    </m:e>
                    <m:sub>
                      <m:r>
                        <m:t>z</m:t>
                      </m:r>
                    </m:sub>
                  </m:sSub>
                </m:e>
              </m:d>
              <m:r>
                <m:rPr>
                  <m:sty m:val="p"/>
                </m:rPr>
                <m:t>/</m:t>
              </m:r>
              <m:r>
                <m:t>2</m:t>
              </m:r>
            </m:e>
          </m:d>
          <m:r>
            <m:rPr>
              <m:sty m:val="p"/>
            </m:rPr>
            <m:t>,</m:t>
          </m:r>
          <m:r>
            <m:t>  </m:t>
          </m:r>
          <m:r>
            <m:rPr>
              <m:sty m:val="p"/>
            </m:rPr>
            <m:t>−</m:t>
          </m:r>
          <m:r>
            <m:t>2</m:t>
          </m:r>
          <m:sSub>
            <m:e>
              <m:r>
                <m:t>b</m:t>
              </m:r>
            </m:e>
            <m:sub>
              <m:r>
                <m:t>n</m:t>
              </m:r>
              <m:r>
                <m:rPr>
                  <m:sty m:val="p"/>
                </m:rPr>
                <m:t>+</m:t>
              </m:r>
              <m:r>
                <m:t>1</m:t>
              </m:r>
            </m:sub>
          </m:sSub>
          <m:d>
            <m:dPr>
              <m:begChr m:val="("/>
              <m:endChr m:val=")"/>
              <m:sepChr m:val=""/>
              <m:grow/>
            </m:dPr>
            <m:e>
              <m:d>
                <m:dPr>
                  <m:begChr m:val="|"/>
                  <m:endChr m:val="|"/>
                  <m:sepChr m:val=""/>
                  <m:grow/>
                </m:dPr>
                <m:e>
                  <m:sSub>
                    <m:e>
                      <m:r>
                        <m:t>q</m:t>
                      </m:r>
                    </m:e>
                    <m:sub>
                      <m:r>
                        <m:t>z</m:t>
                      </m:r>
                    </m:sub>
                  </m:sSub>
                </m:e>
              </m:d>
              <m:r>
                <m:rPr>
                  <m:sty m:val="p"/>
                </m:rPr>
                <m:t>/</m:t>
              </m:r>
              <m:r>
                <m:t>2</m:t>
              </m:r>
            </m:e>
          </m:d>
          <m:r>
            <m:rPr>
              <m:sty m:val="p"/>
            </m:rPr>
            <m:t>.</m:t>
          </m:r>
        </m:oMath>
      </m:oMathPara>
    </w:p>
    <w:p>
      <w:pPr>
        <w:pStyle w:val="FirstParagraph"/>
      </w:pPr>
      <w:r>
        <w:t xml:space="preserve">该视图不反推电极电压几何；线性三段运行线与离子点会隐藏。不能将上述线性杆电极公式直接用于任意三维电极结构。</w:t>
      </w:r>
    </w:p>
    <w:bookmarkEnd w:id="22"/>
    <w:bookmarkStart w:id="23" w:name="数值诊断与保存"/>
    <w:p>
      <w:pPr>
        <w:pStyle w:val="Heading2"/>
      </w:pPr>
      <w:r>
        <w:t xml:space="preserve">数值诊断与保存</w:t>
      </w:r>
    </w:p>
    <w:p>
      <w:pPr>
        <w:pStyle w:val="FirstParagraph"/>
      </w:pPr>
      <w:r>
        <w:t xml:space="preserve">浏览器使用按宇称构造的对称 Hill 矩阵与 Sturm 二分法计算特征值；本地应用使用已安装的 SciPy 特征函数。独立 RK4 计算在一个系数周期内构造单周期矩阵</w:t>
      </w:r>
      <w:r>
        <w:t xml:space="preserve"> </w:t>
      </w:r>
      <m:oMath>
        <m:r>
          <m:t>M</m:t>
        </m:r>
      </m:oMath>
      <w:r>
        <w:t xml:space="preserve">，显示</w:t>
      </w:r>
    </w:p>
    <w:p>
      <w:pPr>
        <w:pStyle w:val="BodyText"/>
      </w:pPr>
      <m:oMathPara>
        <m:oMathParaPr>
          <m:jc m:val="center"/>
        </m:oMathParaPr>
        <m:oMath>
          <m:r>
            <m:rPr>
              <m:sty m:val="p"/>
            </m:rPr>
            <m:t>det</m:t>
          </m:r>
          <m:r>
            <m:t>M</m:t>
          </m:r>
          <m:r>
            <m:rPr>
              <m:sty m:val="p"/>
            </m:rPr>
            <m:t>≃</m:t>
          </m:r>
          <m:r>
            <m:t>1</m:t>
          </m:r>
          <m:r>
            <m:rPr>
              <m:sty m:val="p"/>
            </m:rPr>
            <m:t>,</m:t>
          </m:r>
          <m:r>
            <m:t>  </m:t>
          </m:r>
          <m:d>
            <m:dPr>
              <m:begChr m:val="|"/>
              <m:endChr m:val="|"/>
              <m:sepChr m:val=""/>
              <m:grow/>
            </m:dPr>
            <m:e>
              <m:r>
                <m:rPr>
                  <m:sty m:val="p"/>
                </m:rPr>
                <m:t>tr</m:t>
              </m:r>
              <m:r>
                <m:t>M</m:t>
              </m:r>
            </m:e>
          </m:d>
          <m:r>
            <m:rPr>
              <m:sty m:val="p"/>
            </m:rPr>
            <m:t>&lt;</m:t>
          </m:r>
          <m:r>
            <m:t>2</m:t>
          </m:r>
          <m:r>
            <m:rPr>
              <m:sty m:val="p"/>
            </m:rPr>
            <m:t>,</m:t>
          </m:r>
        </m:oMath>
      </m:oMathPara>
    </w:p>
    <w:p>
      <w:pPr>
        <w:pStyle w:val="FirstParagraph"/>
      </w:pPr>
      <m:oMathPara>
        <m:oMathParaPr>
          <m:jc m:val="center"/>
        </m:oMathParaPr>
        <m:oMath>
          <m:sSub>
            <m:e>
              <m:r>
                <m:t>Δ</m:t>
              </m:r>
            </m:e>
            <m:sub>
              <m:r>
                <m:rPr>
                  <m:sty m:val="p"/>
                </m:rPr>
                <m:t>t</m:t>
              </m:r>
              <m:r>
                <m:rPr>
                  <m:sty m:val="p"/>
                </m:rPr>
                <m:t>r</m:t>
              </m:r>
            </m:sub>
          </m:sSub>
          <m:r>
            <m:rPr>
              <m:sty m:val="p"/>
            </m:rPr>
            <m:t>=</m:t>
          </m:r>
          <m:d>
            <m:dPr>
              <m:begChr m:val="|"/>
              <m:endChr m:val="|"/>
              <m:sepChr m:val=""/>
              <m:grow/>
            </m:dPr>
            <m:e>
              <m:r>
                <m:rPr>
                  <m:sty m:val="p"/>
                </m:rPr>
                <m:t>tr</m:t>
              </m:r>
              <m:sSub>
                <m:e>
                  <m:r>
                    <m:t>M</m:t>
                  </m:r>
                </m:e>
                <m:sub>
                  <m:r>
                    <m:t>1024</m:t>
                  </m:r>
                </m:sub>
              </m:sSub>
              <m:r>
                <m:rPr>
                  <m:sty m:val="p"/>
                </m:rPr>
                <m:t>−</m:t>
              </m:r>
              <m:r>
                <m:rPr>
                  <m:sty m:val="p"/>
                </m:rPr>
                <m:t>tr</m:t>
              </m:r>
              <m:sSub>
                <m:e>
                  <m:r>
                    <m:t>M</m:t>
                  </m:r>
                </m:e>
                <m:sub>
                  <m:r>
                    <m:t>512</m:t>
                  </m:r>
                </m:sub>
              </m:sSub>
            </m:e>
          </m:d>
          <m:r>
            <m:rPr>
              <m:sty m:val="p"/>
            </m:rPr>
            <m:t>.</m:t>
          </m:r>
        </m:oMath>
      </m:oMathPara>
    </w:p>
    <w:p>
      <w:pPr>
        <w:pStyle w:val="FirstParagraph"/>
      </w:pPr>
      <w:r>
        <w:t xml:space="preserve">严格迹不等式对应稳定区内部。边界附近应结合特征值分类与收敛诊断；数值检查未收敛时为未解决状态。填色使用 241 个横向采样点，高阶窄带可能漏显；选定点直接使用特征值判断，不依赖填色采样。</w:t>
      </w:r>
    </w:p>
    <w:p>
      <w:pPr>
        <w:pStyle w:val="BodyText"/>
      </w:pPr>
      <w:r>
        <w:t xml:space="preserve">SVG 保存矢量曲线和文字；PNG 使用所选位图宽度；CSV 保存稳定带采样表；设置 JSON 保存几何、输入、三段参数、坐标轴和样式，可重新打开。浏览器输出位于其下载设置指定的位置。既有共享图像 PDF 功能若出现，保存的是位图 PDF，与矢量 SVG 和本手册 TeX 的编译不同。</w:t>
      </w:r>
    </w:p>
    <w:bookmarkEnd w:id="23"/>
    <w:bookmarkStart w:id="24" w:name="已安装配套应用"/>
    <w:p>
      <w:pPr>
        <w:pStyle w:val="Heading2"/>
      </w:pPr>
      <w:r>
        <w:t xml:space="preserve">已安装配套应用</w:t>
      </w:r>
    </w:p>
    <w:p>
      <w:pPr>
        <w:pStyle w:val="FirstParagraph"/>
      </w:pPr>
      <w:r>
        <w:t xml:space="preserve">在单独安装的配套应用目录打开</w:t>
      </w:r>
      <w:r>
        <w:t xml:space="preserve"> </w:t>
      </w:r>
      <w:r>
        <w:rPr>
          <w:rStyle w:val="VerbatimChar"/>
        </w:rPr>
        <w:t xml:space="preserve">Individual_tools/13_Mathieu_stability.command</w:t>
      </w:r>
      <w:r>
        <w:t xml:space="preserve">，或执行</w:t>
      </w:r>
    </w:p>
    <w:p>
      <w:pPr>
        <w:pStyle w:val="SourceCode"/>
      </w:pPr>
      <w:r>
        <w:rPr>
          <w:rStyle w:val="ExtensionTok"/>
        </w:rPr>
        <w:t xml:space="preserve">./Run_private.command</w:t>
      </w:r>
      <w:r>
        <w:rPr>
          <w:rStyle w:val="NormalTok"/>
        </w:rPr>
        <w:t xml:space="preserve"> traplab.py gui </w:t>
      </w:r>
      <w:r>
        <w:rPr>
          <w:rStyle w:val="AttributeTok"/>
        </w:rPr>
        <w:t xml:space="preserve">--standalone</w:t>
      </w:r>
      <w:r>
        <w:rPr>
          <w:rStyle w:val="NormalTok"/>
        </w:rPr>
        <w:t xml:space="preserve"> </w:t>
      </w:r>
      <w:r>
        <w:rPr>
          <w:rStyle w:val="AttributeTok"/>
        </w:rPr>
        <w:t xml:space="preserve">--page</w:t>
      </w:r>
      <w:r>
        <w:rPr>
          <w:rStyle w:val="NormalTok"/>
        </w:rPr>
        <w:t xml:space="preserve"> mathieu_stability</w:t>
      </w:r>
    </w:p>
    <w:p>
      <w:pPr>
        <w:pStyle w:val="FirstParagraph"/>
      </w:pPr>
      <w:r>
        <w:t xml:space="preserve">集成入口位于 Paul trap and RFQ 分组，页面名为 Mathieu stability multiple bands。默认选择 133Cs 离子；新页面显示一条选定运行线，并提供直接参数、电压输入、本页坐标轴字体与点直径、正常页面状态保存，以及既有 Plot style 和 Export plots。原有</w:t>
      </w:r>
      <w:r>
        <w:t xml:space="preserve"> </w:t>
      </w:r>
      <w:r>
        <w:rPr>
          <w:rStyle w:val="VerbatimChar"/>
        </w:rPr>
        <w:t xml:space="preserve">rfq_sections</w:t>
      </w:r>
      <w:r>
        <w:t xml:space="preserve"> </w:t>
      </w:r>
      <w:r>
        <w:t xml:space="preserve">保留本地三段工作流，不能将新页面描述为新增三条独立本地运行线。模块名是本地入口标签，不是网页下载链接。</w:t>
      </w:r>
    </w:p>
    <w:p>
      <w:pPr>
        <w:pStyle w:val="BodyText"/>
      </w:pPr>
      <w:r>
        <w:t xml:space="preserve">网页保留 CODATA2018 的</w:t>
      </w:r>
      <w:r>
        <w:t xml:space="preserve"> </w:t>
      </w:r>
      <m:oMath>
        <m:r>
          <m:t>u</m:t>
        </m:r>
        <m:r>
          <m:rPr>
            <m:sty m:val="p"/>
          </m:rPr>
          <m:t>=</m:t>
        </m:r>
        <m:r>
          <m:t>1.66053906660</m:t>
        </m:r>
        <m:r>
          <m:rPr>
            <m:sty m:val="p"/>
          </m:rPr>
          <m:t>×</m:t>
        </m:r>
        <m:sSup>
          <m:e>
            <m:r>
              <m:t>10</m:t>
            </m:r>
          </m:e>
          <m:sup>
            <m:r>
              <m:rPr>
                <m:sty m:val="p"/>
              </m:rPr>
              <m:t>−</m:t>
            </m:r>
            <m:r>
              <m:t>27</m:t>
            </m:r>
          </m:sup>
        </m:sSup>
      </m:oMath>
      <w:r>
        <w:t xml:space="preserve"> </w:t>
      </w:r>
      <w:r>
        <w:t xml:space="preserve">kg；本地配置使用 CODATA2022 的</w:t>
      </w:r>
      <w:r>
        <w:t xml:space="preserve"> </w:t>
      </w:r>
      <m:oMath>
        <m:r>
          <m:t>u</m:t>
        </m:r>
        <m:r>
          <m:rPr>
            <m:sty m:val="p"/>
          </m:rPr>
          <m:t>=</m:t>
        </m:r>
        <m:r>
          <m:t>1.66053906892</m:t>
        </m:r>
        <m:r>
          <m:rPr>
            <m:sty m:val="p"/>
          </m:rPr>
          <m:t>×</m:t>
        </m:r>
        <m:sSup>
          <m:e>
            <m:r>
              <m:t>10</m:t>
            </m:r>
          </m:e>
          <m:sup>
            <m:r>
              <m:rPr>
                <m:sty m:val="p"/>
              </m:rPr>
              <m:t>−</m:t>
            </m:r>
            <m:r>
              <m:t>27</m:t>
            </m:r>
          </m:sup>
        </m:sSup>
      </m:oMath>
      <w:r>
        <w:t xml:space="preserve"> </w:t>
      </w:r>
      <w:r>
        <w:t xml:space="preserve">kg。因此小的参数差异是预期现象。模型不传播输入不确定度，也不包括碰撞、边缘场、空间电荷、电极损失或硬件验收。</w:t>
      </w:r>
    </w:p>
    <w:bookmarkEnd w:id="24"/>
    <w:bookmarkStart w:id="25" w:name="故障处理与证据"/>
    <w:p>
      <w:pPr>
        <w:pStyle w:val="Heading2"/>
      </w:pPr>
      <w:r>
        <w:t xml:space="preserve">故障处理与证据</w:t>
      </w:r>
    </w:p>
    <w:p>
      <w:pPr>
        <w:pStyle w:val="FirstParagraph"/>
      </w:pPr>
      <w:r>
        <w:t xml:space="preserve">空白或越界输入应改为范围内的有限值。覆盖范围之外的点可通过减小参数范围或在允许范围内增加稳定带数重新检查，不能强行标为稳定。粒子填充失败时保留精确同位素与核态，或明确手动输入离子质量。请读取本工具保存的设置，而不是旧版图表文件。</w:t>
      </w:r>
    </w:p>
    <w:p>
      <w:pPr>
        <w:pStyle w:val="BodyText"/>
      </w:pPr>
      <w:r>
        <w:t xml:space="preserve">离线检查在六个选定</w:t>
      </w:r>
      <w:r>
        <w:t xml:space="preserve"> </w:t>
      </w:r>
      <m:oMath>
        <m:r>
          <m:t>q</m:t>
        </m:r>
      </m:oMath>
      <w:r>
        <w:t xml:space="preserve">、阶数不超过 12 的 150 个特征值上与 SciPy 1.10.1 比较，最大绝对差</w:t>
      </w:r>
      <w:r>
        <w:t xml:space="preserve"> </w:t>
      </w:r>
      <m:oMath>
        <m:r>
          <m:t>2.85</m:t>
        </m:r>
        <m:r>
          <m:rPr>
            <m:sty m:val="p"/>
          </m:rPr>
          <m:t>×</m:t>
        </m:r>
        <m:sSup>
          <m:e>
            <m:r>
              <m:t>10</m:t>
            </m:r>
          </m:e>
          <m:sup>
            <m:r>
              <m:rPr>
                <m:sty m:val="p"/>
              </m:rPr>
              <m:t>−</m:t>
            </m:r>
            <m:r>
              <m:t>14</m:t>
            </m:r>
          </m:sup>
        </m:sSup>
      </m:oMath>
      <w:r>
        <w:t xml:space="preserve">。九项网页专项测试和五项本地离屏测试通过。它们不代表实际浏览器下载、本地 Cocoa 导出或实验性能已通过验收。</w:t>
      </w:r>
    </w:p>
    <w:bookmarkEnd w:id="25"/>
    <w:bookmarkStart w:id="32" w:name="主要文献"/>
    <w:p>
      <w:pPr>
        <w:pStyle w:val="Heading2"/>
      </w:pPr>
      <w:r>
        <w:t xml:space="preserve">主要文献</w:t>
      </w:r>
    </w:p>
    <w:p>
      <w:pPr>
        <w:numPr>
          <w:ilvl w:val="0"/>
          <w:numId w:val="1002"/>
        </w:numPr>
        <w:pStyle w:val="Compact"/>
      </w:pPr>
      <w:r>
        <w:t xml:space="preserve">NIST DLMF 1.2.8：</w:t>
      </w:r>
      <w:hyperlink r:id="rId26">
        <w:r>
          <w:rPr>
            <w:rStyle w:val="Hyperlink"/>
          </w:rPr>
          <w:t xml:space="preserve">28.2 定义与基本性质</w:t>
        </w:r>
      </w:hyperlink>
      <w:r>
        <w:t xml:space="preserve">、</w:t>
      </w:r>
      <w:hyperlink r:id="rId27">
        <w:r>
          <w:rPr>
            <w:rStyle w:val="Hyperlink"/>
          </w:rPr>
          <w:t xml:space="preserve">28.17 稳定性</w:t>
        </w:r>
      </w:hyperlink>
      <w:r>
        <w:t xml:space="preserve">，核对日期 2026 年 10 月 24 日。</w:t>
      </w:r>
    </w:p>
    <w:p>
      <w:pPr>
        <w:numPr>
          <w:ilvl w:val="0"/>
          <w:numId w:val="1002"/>
        </w:numPr>
        <w:pStyle w:val="Compact"/>
      </w:pPr>
      <w:r>
        <w:t xml:space="preserve">SciPy 官方</w:t>
      </w:r>
      <w:r>
        <w:t xml:space="preserve"> </w:t>
      </w:r>
      <w:hyperlink r:id="rId28">
        <w:r>
          <w:rPr>
            <w:rStyle w:val="Hyperlink"/>
          </w:rPr>
          <w:t xml:space="preserve">mathieu_a</w:t>
        </w:r>
      </w:hyperlink>
      <w:r>
        <w:t xml:space="preserve">、</w:t>
      </w:r>
      <w:hyperlink r:id="rId29">
        <w:r>
          <w:rPr>
            <w:rStyle w:val="Hyperlink"/>
          </w:rPr>
          <w:t xml:space="preserve">mathieu_b</w:t>
        </w:r>
      </w:hyperlink>
      <w:r>
        <w:t xml:space="preserve">。本地验证版本为 1.10.1，在线文档可能对应更新版本。</w:t>
      </w:r>
    </w:p>
    <w:p>
      <w:pPr>
        <w:numPr>
          <w:ilvl w:val="0"/>
          <w:numId w:val="1002"/>
        </w:numPr>
        <w:pStyle w:val="Compact"/>
      </w:pPr>
      <w:r>
        <w:t xml:space="preserve">质量填充的评价来源：</w:t>
      </w:r>
      <w:hyperlink r:id="rId30">
        <w:r>
          <w:rPr>
            <w:rStyle w:val="Hyperlink"/>
          </w:rPr>
          <w:t xml:space="preserve">AME2020</w:t>
        </w:r>
      </w:hyperlink>
      <w:r>
        <w:t xml:space="preserve">、</w:t>
      </w:r>
      <w:hyperlink r:id="rId31">
        <w:r>
          <w:rPr>
            <w:rStyle w:val="Hyperlink"/>
          </w:rPr>
          <w:t xml:space="preserve">NUBASE2020</w:t>
        </w:r>
      </w:hyperlink>
      <w:r>
        <w:t xml:space="preserve">。数值约定复用既有配套应用的</w:t>
      </w:r>
      <w:r>
        <w:t xml:space="preserve"> </w:t>
      </w:r>
      <w:r>
        <w:rPr>
          <w:rStyle w:val="VerbatimChar"/>
        </w:rPr>
        <w:t xml:space="preserve">paul_mathieu</w:t>
      </w:r>
      <w:r>
        <w:t xml:space="preserve"> </w:t>
      </w:r>
      <w:r>
        <w:t xml:space="preserve">与</w:t>
      </w:r>
      <w:r>
        <w:t xml:space="preserve"> </w:t>
      </w:r>
      <w:r>
        <w:rPr>
          <w:rStyle w:val="VerbatimChar"/>
        </w:rPr>
        <w:t xml:space="preserve">rfq_sections</w:t>
      </w:r>
      <w:r>
        <w:t xml:space="preserve"> </w:t>
      </w:r>
      <w:r>
        <w:t xml:space="preserve">实现。</w:t>
      </w:r>
    </w:p>
    <w:bookmarkEnd w:id="32"/>
    <w:sectPr w:rsidR="00FC693F" w:rsidRPr="0006063C" w:rsidSect="00034616">
      <w:footerReference r:id="rId9" w:type="default"/>
      <w:pgSz w:h="15840" w:w="12240"/>
      <w:pgMar w:bottom="1152" w:footer="504" w:gutter="0" w:header="504" w:left="1152" w:right="1152" w:top="1152"/>
      <w:cols w:space="720" w:num="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Times New Roman" w:eastAsia="Songti SC"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120" w:line="259" w:lineRule="auto"/>
    </w:pPr>
    <w:rPr>
      <w:rFonts w:ascii="Times New Roman" w:eastAsia="Songti SC" w:hAnsi="Times New Roman"/>
      <w:color w:val="000000"/>
      <w:sz w:val="22"/>
    </w:rPr>
  </w:style>
  <w:style w:customStyle="1" w:styleId="HeaderChar" w:type="character">
    <w:name w:val="Header Char"/>
    <w:basedOn w:val="DefaultParagraphFont"/>
    <w:link w:val="Header"/>
    <w:uiPriority w:val="99"/>
    <w:rsid w:val="00E618BF"/>
    <w:rPr>
      <w:rFonts w:ascii="Times New Roman" w:hAnsi="Times New Roman" w:eastAsia="Songti SC"/>
      <w:color w:val="000000"/>
    </w:rPr>
  </w:style>
  <w:style w:styleId="Footer" w:type="paragraph">
    <w:name w:val="footer"/>
    <w:basedOn w:val="Normal"/>
    <w:link w:val="FooterChar"/>
    <w:uiPriority w:val="99"/>
    <w:unhideWhenUsed/>
    <w:rsid w:val="00E618BF"/>
    <w:pPr>
      <w:tabs>
        <w:tab w:pos="4680" w:val="center"/>
        <w:tab w:pos="9360" w:val="right"/>
      </w:tabs>
      <w:spacing w:after="120" w:line="259" w:lineRule="auto"/>
    </w:pPr>
    <w:rPr>
      <w:rFonts w:ascii="Times New Roman" w:eastAsia="Songti SC" w:hAnsi="Times New Roman"/>
      <w:color w:val="000000"/>
      <w:sz w:val="22"/>
    </w:rPr>
  </w:style>
  <w:style w:customStyle="1" w:styleId="FooterChar" w:type="character">
    <w:name w:val="Footer Char"/>
    <w:basedOn w:val="DefaultParagraphFont"/>
    <w:link w:val="Footer"/>
    <w:uiPriority w:val="99"/>
    <w:rsid w:val="00E618BF"/>
    <w:rPr>
      <w:rFonts w:ascii="Times New Roman" w:hAnsi="Times New Roman" w:eastAsia="Songti SC"/>
      <w:color w:val="000000"/>
    </w:rPr>
  </w:style>
  <w:style w:styleId="Heading1" w:type="paragraph">
    <w:name w:val="heading 1"/>
    <w:basedOn w:val="Normal"/>
    <w:next w:val="Normal"/>
    <w:link w:val="Heading1Char"/>
    <w:uiPriority w:val="9"/>
    <w:qFormat/>
    <w:rsid w:val="00FC693F"/>
    <w:pPr>
      <w:keepNext/>
      <w:keepLines/>
      <w:spacing w:after="120" w:before="280" w:line="259" w:lineRule="auto"/>
      <w:outlineLvl w:val="0"/>
    </w:pPr>
    <w:rPr>
      <w:rFonts w:ascii="Times New Roman" w:asciiTheme="majorHAnsi" w:cstheme="majorBidi" w:eastAsia="Songti SC" w:eastAsiaTheme="majorEastAsia" w:hAnsi="Times New Roman" w:hAnsiTheme="majorHAnsi"/>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20" w:before="280" w:line="259" w:lineRule="auto"/>
      <w:outlineLvl w:val="1"/>
    </w:pPr>
    <w:rPr>
      <w:rFonts w:ascii="Times New Roman" w:asciiTheme="majorHAnsi" w:cstheme="majorBidi" w:eastAsia="Songti SC"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80" w:line="259" w:lineRule="auto"/>
      <w:outlineLvl w:val="2"/>
    </w:pPr>
    <w:rPr>
      <w:rFonts w:ascii="Times New Roman" w:asciiTheme="majorHAnsi" w:cstheme="majorBidi" w:eastAsia="Songti SC" w:eastAsiaTheme="majorEastAsia" w:hAnsi="Times New Roman"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20" w:before="200" w:line="259" w:lineRule="auto"/>
      <w:outlineLvl w:val="3"/>
    </w:pPr>
    <w:rPr>
      <w:rFonts w:ascii="Times New Roman" w:asciiTheme="majorHAnsi" w:cstheme="majorBidi" w:eastAsia="Songti SC" w:eastAsiaTheme="majorEastAsia" w:hAnsi="Times New Roman"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20" w:before="200" w:line="259" w:lineRule="auto"/>
      <w:outlineLvl w:val="4"/>
    </w:pPr>
    <w:rPr>
      <w:rFonts w:ascii="Times New Roman" w:asciiTheme="majorHAnsi" w:cstheme="majorBidi" w:eastAsia="Songti SC" w:eastAsiaTheme="majorEastAsia" w:hAnsi="Times New Roman"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20" w:before="200" w:line="259" w:lineRule="auto"/>
      <w:outlineLvl w:val="5"/>
    </w:pPr>
    <w:rPr>
      <w:rFonts w:ascii="Times New Roman" w:asciiTheme="majorHAnsi" w:cstheme="majorBidi" w:eastAsia="Songti SC" w:eastAsiaTheme="majorEastAsia" w:hAnsi="Times New Roman"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20" w:before="200" w:line="259" w:lineRule="auto"/>
      <w:outlineLvl w:val="6"/>
    </w:pPr>
    <w:rPr>
      <w:rFonts w:ascii="Times New Roman" w:asciiTheme="majorHAnsi" w:cstheme="majorBidi" w:eastAsia="Songti SC" w:eastAsiaTheme="majorEastAsia" w:hAnsi="Times New Roman"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20" w:before="200" w:line="259" w:lineRule="auto"/>
      <w:outlineLvl w:val="7"/>
    </w:pPr>
    <w:rPr>
      <w:rFonts w:ascii="Times New Roman" w:asciiTheme="majorHAnsi" w:cstheme="majorBidi" w:eastAsia="Songti SC" w:eastAsiaTheme="majorEastAsia" w:hAnsi="Times New Roman"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20" w:before="200" w:line="259" w:lineRule="auto"/>
      <w:outlineLvl w:val="8"/>
    </w:pPr>
    <w:rPr>
      <w:rFonts w:ascii="Times New Roman" w:asciiTheme="majorHAnsi" w:cstheme="majorBidi" w:eastAsia="Songti SC" w:eastAsiaTheme="majorEastAsia" w:hAnsi="Times New Roman" w:hAnsiTheme="majorHAnsi"/>
      <w:i/>
      <w:iCs/>
      <w:color w:val="000000"/>
      <w:sz w:val="22"/>
      <w:szCs w:val="20"/>
    </w:rPr>
  </w:style>
  <w:style w:default="1" w:styleId="DefaultParagraphFont" w:type="character">
    <w:name w:val="Default Paragraph Font"/>
    <w:uiPriority w:val="1"/>
    <w:semiHidden/>
    <w:unhideWhenUsed/>
    <w:rPr>
      <w:rFonts w:ascii="Times New Roman" w:hAnsi="Times New Roman" w:eastAsia="Songti SC"/>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20" w:line="259" w:lineRule="auto"/>
    </w:pPr>
    <w:rPr>
      <w:rFonts w:ascii="Times New Roman" w:eastAsia="Songti SC" w:hAnsi="Times New Roman"/>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ascii="Times New Roman" w:hAnsi="Times New Roman" w:eastAsia="Songti SC"/>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ascii="Times New Roman" w:hAnsi="Times New Roman" w:eastAsia="Songti SC"/>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ascii="Times New Roman" w:hAnsi="Times New Roman" w:eastAsia="Songti SC"/>
      <w:b/>
      <w:bCs/>
      <w:color w:val="000000"/>
    </w:rPr>
  </w:style>
  <w:style w:styleId="Title" w:type="paragraph">
    <w:name w:val="Title"/>
    <w:basedOn w:val="Normal"/>
    <w:next w:val="Normal"/>
    <w:link w:val="TitleChar"/>
    <w:uiPriority w:val="10"/>
    <w:qFormat/>
    <w:rsid w:val="00FC693F"/>
    <w:pPr>
      <w:keepNext/>
      <w:spacing w:after="120" w:before="0" w:line="259" w:lineRule="auto"/>
      <w:contextualSpacing/>
    </w:pPr>
    <w:rPr>
      <w:rFonts w:ascii="Times New Roman" w:asciiTheme="majorHAnsi" w:cstheme="majorBidi" w:eastAsia="Songti SC" w:eastAsiaTheme="majorEastAsia" w:hAnsi="Times New Roman" w:hAnsiTheme="majorHAnsi"/>
      <w:b/>
      <w:color w:val="000000"/>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ascii="Times New Roman" w:hAnsi="Times New Roman" w:eastAsia="Songti SC"/>
      <w:color w:val="000000"/>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0" w:line="259" w:lineRule="auto"/>
    </w:pPr>
    <w:rPr>
      <w:rFonts w:ascii="Times New Roman" w:asciiTheme="majorHAnsi" w:cstheme="majorBidi" w:eastAsia="Songti SC" w:eastAsiaTheme="majorEastAsia" w:hAnsi="Times New Roman" w:hAnsiTheme="majorHAnsi"/>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ascii="Times New Roman" w:hAnsi="Times New Roman" w:eastAsia="Songti SC"/>
      <w:i/>
      <w:iCs/>
      <w:color w:val="000000"/>
      <w:spacing w:val="15"/>
      <w:sz w:val="24"/>
      <w:szCs w:val="24"/>
    </w:rPr>
  </w:style>
  <w:style w:styleId="ListParagraph" w:type="paragraph">
    <w:name w:val="List Paragraph"/>
    <w:basedOn w:val="Normal"/>
    <w:uiPriority w:val="34"/>
    <w:qFormat/>
    <w:rsid w:val="00FC693F"/>
    <w:pPr>
      <w:spacing w:line="259" w:lineRule="auto" w:after="120"/>
      <w:ind w:left="720"/>
      <w:contextualSpacing/>
    </w:pPr>
    <w:rPr>
      <w:rFonts w:ascii="Times New Roman" w:eastAsia="Songti SC" w:hAnsi="Times New Roman"/>
      <w:color w:val="000000"/>
      <w:sz w:val="22"/>
    </w:rPr>
  </w:style>
  <w:style w:styleId="BodyText" w:type="paragraph">
    <w:name w:val="Body Text"/>
    <w:basedOn w:val="Normal"/>
    <w:link w:val="BodyTextChar"/>
    <w:uiPriority w:val="99"/>
    <w:unhideWhenUsed/>
    <w:rsid w:val="00AA1D8D"/>
    <w:pPr>
      <w:spacing w:after="120" w:line="259" w:lineRule="auto"/>
    </w:pPr>
    <w:rPr>
      <w:rFonts w:ascii="Times New Roman" w:eastAsia="Songti SC" w:hAnsi="Times New Roman"/>
      <w:color w:val="000000"/>
      <w:sz w:val="22"/>
    </w:rPr>
  </w:style>
  <w:style w:customStyle="1" w:styleId="BodyTextChar" w:type="character">
    <w:name w:val="Body Text Char"/>
    <w:basedOn w:val="DefaultParagraphFont"/>
    <w:link w:val="BodyText"/>
    <w:uiPriority w:val="99"/>
    <w:rsid w:val="00AA1D8D"/>
    <w:rPr>
      <w:rFonts w:ascii="Times New Roman" w:hAnsi="Times New Roman" w:eastAsia="Songti SC"/>
      <w:color w:val="000000"/>
    </w:rPr>
  </w:style>
  <w:style w:styleId="BodyText2" w:type="paragraph">
    <w:name w:val="Body Text 2"/>
    <w:basedOn w:val="Normal"/>
    <w:link w:val="BodyText2Char"/>
    <w:uiPriority w:val="99"/>
    <w:unhideWhenUsed/>
    <w:rsid w:val="00AA1D8D"/>
    <w:pPr>
      <w:spacing w:after="120" w:line="259" w:lineRule="auto"/>
    </w:pPr>
    <w:rPr>
      <w:rFonts w:ascii="Times New Roman" w:eastAsia="Songti SC" w:hAnsi="Times New Roman"/>
      <w:color w:val="000000"/>
      <w:sz w:val="22"/>
    </w:rPr>
  </w:style>
  <w:style w:customStyle="1" w:styleId="BodyText2Char" w:type="character">
    <w:name w:val="Body Text 2 Char"/>
    <w:basedOn w:val="DefaultParagraphFont"/>
    <w:link w:val="BodyText2"/>
    <w:uiPriority w:val="99"/>
    <w:rsid w:val="00AA1D8D"/>
    <w:rPr>
      <w:rFonts w:ascii="Times New Roman" w:hAnsi="Times New Roman" w:eastAsia="Songti SC"/>
      <w:color w:val="000000"/>
    </w:rPr>
  </w:style>
  <w:style w:styleId="BodyText3" w:type="paragraph">
    <w:name w:val="Body Text 3"/>
    <w:basedOn w:val="Normal"/>
    <w:link w:val="BodyText3Char"/>
    <w:uiPriority w:val="99"/>
    <w:unhideWhenUsed/>
    <w:rsid w:val="00AA1D8D"/>
    <w:pPr>
      <w:spacing w:after="120" w:line="259" w:lineRule="auto"/>
    </w:pPr>
    <w:rPr>
      <w:rFonts w:ascii="Times New Roman" w:eastAsia="Songti SC" w:hAnsi="Times New Roman"/>
      <w:color w:val="000000"/>
      <w:sz w:val="22"/>
      <w:szCs w:val="16"/>
    </w:rPr>
  </w:style>
  <w:style w:customStyle="1" w:styleId="BodyText3Char" w:type="character">
    <w:name w:val="Body Text 3 Char"/>
    <w:basedOn w:val="DefaultParagraphFont"/>
    <w:link w:val="BodyText3"/>
    <w:uiPriority w:val="99"/>
    <w:rsid w:val="00AA1D8D"/>
    <w:rPr>
      <w:rFonts w:ascii="Times New Roman" w:hAnsi="Times New Roman" w:eastAsia="Songti SC"/>
      <w:color w:val="000000"/>
      <w:sz w:val="16"/>
      <w:szCs w:val="16"/>
    </w:rPr>
  </w:style>
  <w:style w:styleId="List" w:type="paragraph">
    <w:name w:val="List"/>
    <w:basedOn w:val="Normal"/>
    <w:uiPriority w:val="99"/>
    <w:unhideWhenUsed/>
    <w:rsid w:val="00AA1D8D"/>
    <w:pPr>
      <w:spacing w:line="259" w:lineRule="auto" w:after="120"/>
      <w:ind w:hanging="360" w:left="360"/>
      <w:contextualSpacing/>
    </w:pPr>
    <w:rPr>
      <w:rFonts w:ascii="Times New Roman" w:eastAsia="Songti SC" w:hAnsi="Times New Roman"/>
      <w:color w:val="000000"/>
      <w:sz w:val="22"/>
    </w:rPr>
  </w:style>
  <w:style w:styleId="List2" w:type="paragraph">
    <w:name w:val="List 2"/>
    <w:basedOn w:val="Normal"/>
    <w:uiPriority w:val="99"/>
    <w:unhideWhenUsed/>
    <w:rsid w:val="00326F90"/>
    <w:pPr>
      <w:spacing w:line="259" w:lineRule="auto" w:after="120"/>
      <w:ind w:hanging="360" w:left="720"/>
      <w:contextualSpacing/>
    </w:pPr>
    <w:rPr>
      <w:rFonts w:ascii="Times New Roman" w:eastAsia="Songti SC" w:hAnsi="Times New Roman"/>
      <w:color w:val="000000"/>
      <w:sz w:val="22"/>
    </w:rPr>
  </w:style>
  <w:style w:styleId="List3" w:type="paragraph">
    <w:name w:val="List 3"/>
    <w:basedOn w:val="Normal"/>
    <w:uiPriority w:val="99"/>
    <w:unhideWhenUsed/>
    <w:rsid w:val="00326F90"/>
    <w:pPr>
      <w:spacing w:line="259" w:lineRule="auto" w:after="120"/>
      <w:ind w:hanging="360" w:left="1080"/>
      <w:contextualSpacing/>
    </w:pPr>
    <w:rPr>
      <w:rFonts w:ascii="Times New Roman" w:eastAsia="Songti SC" w:hAnsi="Times New Roman"/>
      <w:color w:val="000000"/>
      <w:sz w:val="22"/>
    </w:rPr>
  </w:style>
  <w:style w:styleId="ListBullet" w:type="paragraph">
    <w:name w:val="List Bullet"/>
    <w:basedOn w:val="Normal"/>
    <w:uiPriority w:val="99"/>
    <w:unhideWhenUsed/>
    <w:rsid w:val="00326F90"/>
    <w:pPr>
      <w:numPr>
        <w:numId w:val="1"/>
      </w:numPr>
      <w:spacing w:line="259" w:lineRule="auto" w:after="120"/>
      <w:contextualSpacing/>
    </w:pPr>
    <w:rPr>
      <w:rFonts w:ascii="Times New Roman" w:eastAsia="Songti SC" w:hAnsi="Times New Roman"/>
      <w:color w:val="000000"/>
      <w:sz w:val="22"/>
    </w:rPr>
  </w:style>
  <w:style w:styleId="ListBullet2" w:type="paragraph">
    <w:name w:val="List Bullet 2"/>
    <w:basedOn w:val="Normal"/>
    <w:uiPriority w:val="99"/>
    <w:unhideWhenUsed/>
    <w:rsid w:val="00326F90"/>
    <w:pPr>
      <w:numPr>
        <w:numId w:val="2"/>
      </w:numPr>
      <w:spacing w:line="259" w:lineRule="auto" w:after="120"/>
      <w:contextualSpacing/>
    </w:pPr>
    <w:rPr>
      <w:rFonts w:ascii="Times New Roman" w:eastAsia="Songti SC" w:hAnsi="Times New Roman"/>
      <w:color w:val="000000"/>
      <w:sz w:val="22"/>
    </w:rPr>
  </w:style>
  <w:style w:styleId="ListBullet3" w:type="paragraph">
    <w:name w:val="List Bullet 3"/>
    <w:basedOn w:val="Normal"/>
    <w:uiPriority w:val="99"/>
    <w:unhideWhenUsed/>
    <w:rsid w:val="00326F90"/>
    <w:pPr>
      <w:numPr>
        <w:numId w:val="3"/>
      </w:numPr>
      <w:spacing w:line="259" w:lineRule="auto" w:after="120"/>
      <w:contextualSpacing/>
    </w:pPr>
    <w:rPr>
      <w:rFonts w:ascii="Times New Roman" w:eastAsia="Songti SC" w:hAnsi="Times New Roman"/>
      <w:color w:val="000000"/>
      <w:sz w:val="22"/>
    </w:rPr>
  </w:style>
  <w:style w:styleId="ListNumber" w:type="paragraph">
    <w:name w:val="List Number"/>
    <w:basedOn w:val="Normal"/>
    <w:uiPriority w:val="99"/>
    <w:unhideWhenUsed/>
    <w:rsid w:val="00326F90"/>
    <w:pPr>
      <w:numPr>
        <w:numId w:val="5"/>
      </w:numPr>
      <w:spacing w:line="259" w:lineRule="auto" w:after="120"/>
      <w:contextualSpacing/>
    </w:pPr>
    <w:rPr>
      <w:rFonts w:ascii="Times New Roman" w:eastAsia="Songti SC" w:hAnsi="Times New Roman"/>
      <w:color w:val="000000"/>
      <w:sz w:val="22"/>
    </w:rPr>
  </w:style>
  <w:style w:styleId="ListNumber2" w:type="paragraph">
    <w:name w:val="List Number 2"/>
    <w:basedOn w:val="Normal"/>
    <w:uiPriority w:val="99"/>
    <w:unhideWhenUsed/>
    <w:rsid w:val="0029639D"/>
    <w:pPr>
      <w:numPr>
        <w:numId w:val="6"/>
      </w:numPr>
      <w:spacing w:line="259" w:lineRule="auto" w:after="120"/>
      <w:contextualSpacing/>
    </w:pPr>
    <w:rPr>
      <w:rFonts w:ascii="Times New Roman" w:eastAsia="Songti SC" w:hAnsi="Times New Roman"/>
      <w:color w:val="000000"/>
      <w:sz w:val="22"/>
    </w:rPr>
  </w:style>
  <w:style w:styleId="ListNumber3" w:type="paragraph">
    <w:name w:val="List Number 3"/>
    <w:basedOn w:val="Normal"/>
    <w:uiPriority w:val="99"/>
    <w:unhideWhenUsed/>
    <w:rsid w:val="0029639D"/>
    <w:pPr>
      <w:numPr>
        <w:numId w:val="7"/>
      </w:numPr>
      <w:spacing w:line="259" w:lineRule="auto" w:after="120"/>
      <w:contextualSpacing/>
    </w:pPr>
    <w:rPr>
      <w:rFonts w:ascii="Times New Roman" w:eastAsia="Songti SC" w:hAnsi="Times New Roman"/>
      <w:color w:val="000000"/>
      <w:sz w:val="22"/>
    </w:rPr>
  </w:style>
  <w:style w:styleId="ListContinue" w:type="paragraph">
    <w:name w:val="List Continue"/>
    <w:basedOn w:val="Normal"/>
    <w:uiPriority w:val="99"/>
    <w:unhideWhenUsed/>
    <w:rsid w:val="0029639D"/>
    <w:pPr>
      <w:spacing w:after="120" w:line="259" w:lineRule="auto"/>
      <w:ind w:left="360"/>
      <w:contextualSpacing/>
    </w:pPr>
    <w:rPr>
      <w:rFonts w:ascii="Times New Roman" w:eastAsia="Songti SC" w:hAnsi="Times New Roman"/>
      <w:color w:val="000000"/>
      <w:sz w:val="22"/>
    </w:rPr>
  </w:style>
  <w:style w:styleId="ListContinue2" w:type="paragraph">
    <w:name w:val="List Continue 2"/>
    <w:basedOn w:val="Normal"/>
    <w:uiPriority w:val="99"/>
    <w:unhideWhenUsed/>
    <w:rsid w:val="0029639D"/>
    <w:pPr>
      <w:spacing w:after="120" w:line="259" w:lineRule="auto"/>
      <w:ind w:left="720"/>
      <w:contextualSpacing/>
    </w:pPr>
    <w:rPr>
      <w:rFonts w:ascii="Times New Roman" w:eastAsia="Songti SC" w:hAnsi="Times New Roman"/>
      <w:color w:val="000000"/>
      <w:sz w:val="22"/>
    </w:rPr>
  </w:style>
  <w:style w:styleId="ListContinue3" w:type="paragraph">
    <w:name w:val="List Continue 3"/>
    <w:basedOn w:val="Normal"/>
    <w:uiPriority w:val="99"/>
    <w:unhideWhenUsed/>
    <w:rsid w:val="0029639D"/>
    <w:pPr>
      <w:spacing w:after="120" w:line="259" w:lineRule="auto"/>
      <w:ind w:left="1080"/>
      <w:contextualSpacing/>
    </w:pPr>
    <w:rPr>
      <w:rFonts w:ascii="Times New Roman" w:eastAsia="Songti SC" w:hAnsi="Times New Roman"/>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line="259" w:lineRule="auto" w:after="120"/>
    </w:pPr>
    <w:rPr>
      <w:rFonts w:ascii="Times New Roman" w:eastAsia="Songti SC" w:hAnsi="Times New Roman"/>
      <w:color w:val="000000"/>
      <w:sz w:val="22"/>
      <w:szCs w:val="20"/>
    </w:rPr>
  </w:style>
  <w:style w:customStyle="1" w:styleId="MacroTextChar" w:type="character">
    <w:name w:val="Macro Text Char"/>
    <w:basedOn w:val="DefaultParagraphFont"/>
    <w:link w:val="MacroText"/>
    <w:uiPriority w:val="99"/>
    <w:rsid w:val="0029639D"/>
    <w:rPr>
      <w:rFonts w:ascii="Times New Roman" w:hAnsi="Times New Roman" w:eastAsia="Songti SC"/>
      <w:color w:val="000000"/>
      <w:sz w:val="20"/>
      <w:szCs w:val="20"/>
    </w:rPr>
  </w:style>
  <w:style w:styleId="Quote" w:type="paragraph">
    <w:name w:val="Quote"/>
    <w:basedOn w:val="Normal"/>
    <w:next w:val="Normal"/>
    <w:link w:val="QuoteChar"/>
    <w:uiPriority w:val="29"/>
    <w:qFormat/>
    <w:rsid w:val="00FC693F"/>
    <w:pPr>
      <w:spacing w:line="259" w:lineRule="auto" w:after="120"/>
    </w:pPr>
    <w:rPr>
      <w:rFonts w:ascii="Times New Roman" w:eastAsia="Songti SC" w:hAnsi="Times New Roman"/>
      <w:i/>
      <w:iCs/>
      <w:color w:val="000000"/>
      <w:sz w:val="22"/>
    </w:rPr>
  </w:style>
  <w:style w:customStyle="1" w:styleId="QuoteChar" w:type="character">
    <w:name w:val="Quote Char"/>
    <w:basedOn w:val="DefaultParagraphFont"/>
    <w:link w:val="Quote"/>
    <w:uiPriority w:val="29"/>
    <w:rsid w:val="00FC693F"/>
    <w:rPr>
      <w:rFonts w:ascii="Times New Roman" w:hAnsi="Times New Roman" w:eastAsia="Songti SC"/>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ascii="Times New Roman" w:hAnsi="Times New Roman" w:eastAsia="Songti SC"/>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ascii="Times New Roman" w:hAnsi="Times New Roman" w:eastAsia="Songti SC"/>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ascii="Times New Roman" w:hAnsi="Times New Roman" w:eastAsia="Songti SC"/>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ascii="Times New Roman" w:hAnsi="Times New Roman" w:eastAsia="Songti SC"/>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ascii="Times New Roman" w:hAnsi="Times New Roman" w:eastAsia="Songti SC"/>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ascii="Times New Roman" w:hAnsi="Times New Roman" w:eastAsia="Songti SC"/>
      <w:i/>
      <w:iCs/>
      <w:color w:val="000000"/>
      <w:sz w:val="20"/>
      <w:szCs w:val="20"/>
    </w:rPr>
  </w:style>
  <w:style w:styleId="Caption" w:type="paragraph">
    <w:name w:val="caption"/>
    <w:basedOn w:val="Normal"/>
    <w:next w:val="Normal"/>
    <w:uiPriority w:val="35"/>
    <w:semiHidden/>
    <w:unhideWhenUsed/>
    <w:qFormat/>
    <w:rsid w:val="00FC693F"/>
    <w:pPr>
      <w:spacing w:line="259" w:lineRule="auto" w:after="120"/>
    </w:pPr>
    <w:rPr>
      <w:rFonts w:ascii="Times New Roman" w:eastAsia="Songti SC" w:hAnsi="Times New Roman"/>
      <w:b/>
      <w:bCs/>
      <w:color w:val="000000"/>
      <w:sz w:val="22"/>
      <w:szCs w:val="18"/>
    </w:rPr>
  </w:style>
  <w:style w:styleId="Strong" w:type="character">
    <w:name w:val="Strong"/>
    <w:basedOn w:val="DefaultParagraphFont"/>
    <w:uiPriority w:val="22"/>
    <w:qFormat/>
    <w:rsid w:val="00FC693F"/>
    <w:rPr>
      <w:rFonts w:ascii="Times New Roman" w:hAnsi="Times New Roman" w:eastAsia="Songti SC"/>
      <w:b/>
      <w:bCs/>
      <w:color w:val="000000"/>
    </w:rPr>
  </w:style>
  <w:style w:styleId="Emphasis" w:type="character">
    <w:name w:val="Emphasis"/>
    <w:basedOn w:val="DefaultParagraphFont"/>
    <w:uiPriority w:val="20"/>
    <w:qFormat/>
    <w:rsid w:val="00FC693F"/>
    <w:rPr>
      <w:rFonts w:ascii="Times New Roman" w:hAnsi="Times New Roman" w:eastAsia="Songti SC"/>
      <w:i/>
      <w:iCs/>
      <w:color w:val="000000"/>
    </w:rPr>
  </w:style>
  <w:style w:styleId="IntenseQuote" w:type="paragraph">
    <w:name w:val="Intense Quote"/>
    <w:basedOn w:val="Normal"/>
    <w:next w:val="Normal"/>
    <w:link w:val="IntenseQuoteChar"/>
    <w:uiPriority w:val="30"/>
    <w:qFormat/>
    <w:rsid w:val="00FC693F"/>
    <w:pPr>
      <w:spacing w:after="120" w:before="200" w:line="259" w:lineRule="auto"/>
      <w:ind w:left="936" w:right="936"/>
    </w:pPr>
    <w:rPr>
      <w:rFonts w:ascii="Times New Roman" w:eastAsia="Songti SC" w:hAnsi="Times New Roman"/>
      <w:b/>
      <w:bCs/>
      <w:i/>
      <w:iCs/>
      <w:color w:val="000000"/>
      <w:sz w:val="22"/>
    </w:rPr>
  </w:style>
  <w:style w:customStyle="1" w:styleId="IntenseQuoteChar" w:type="character">
    <w:name w:val="Intense Quote Char"/>
    <w:basedOn w:val="DefaultParagraphFont"/>
    <w:link w:val="IntenseQuote"/>
    <w:uiPriority w:val="30"/>
    <w:rsid w:val="00FC693F"/>
    <w:rPr>
      <w:rFonts w:ascii="Times New Roman" w:hAnsi="Times New Roman" w:eastAsia="Songti SC"/>
      <w:b/>
      <w:bCs/>
      <w:i/>
      <w:iCs/>
      <w:color w:val="000000"/>
    </w:rPr>
  </w:style>
  <w:style w:styleId="SubtleEmphasis" w:type="character">
    <w:name w:val="Subtle Emphasis"/>
    <w:basedOn w:val="DefaultParagraphFont"/>
    <w:uiPriority w:val="19"/>
    <w:qFormat/>
    <w:rsid w:val="00FC693F"/>
    <w:rPr>
      <w:rFonts w:ascii="Times New Roman" w:hAnsi="Times New Roman" w:eastAsia="Songti SC"/>
      <w:i/>
      <w:iCs/>
      <w:color w:val="000000"/>
    </w:rPr>
  </w:style>
  <w:style w:styleId="IntenseEmphasis" w:type="character">
    <w:name w:val="Intense Emphasis"/>
    <w:basedOn w:val="DefaultParagraphFont"/>
    <w:uiPriority w:val="21"/>
    <w:qFormat/>
    <w:rsid w:val="00FC693F"/>
    <w:rPr>
      <w:rFonts w:ascii="Times New Roman" w:hAnsi="Times New Roman" w:eastAsia="Songti SC"/>
      <w:b/>
      <w:bCs/>
      <w:i/>
      <w:iCs/>
      <w:color w:val="000000"/>
    </w:rPr>
  </w:style>
  <w:style w:styleId="SubtleReference" w:type="character">
    <w:name w:val="Subtle Reference"/>
    <w:basedOn w:val="DefaultParagraphFont"/>
    <w:uiPriority w:val="31"/>
    <w:qFormat/>
    <w:rsid w:val="00FC693F"/>
    <w:rPr>
      <w:rFonts w:ascii="Times New Roman" w:hAnsi="Times New Roman" w:eastAsia="Songti SC"/>
      <w:smallCaps/>
      <w:color w:val="000000"/>
      <w:u w:val="single"/>
    </w:rPr>
  </w:style>
  <w:style w:styleId="IntenseReference" w:type="character">
    <w:name w:val="Intense Reference"/>
    <w:basedOn w:val="DefaultParagraphFont"/>
    <w:uiPriority w:val="32"/>
    <w:qFormat/>
    <w:rsid w:val="00FC693F"/>
    <w:rPr>
      <w:rFonts w:ascii="Times New Roman" w:hAnsi="Times New Roman" w:eastAsia="Songti SC"/>
      <w:b/>
      <w:bCs/>
      <w:smallCaps/>
      <w:color w:val="000000"/>
      <w:spacing w:val="5"/>
      <w:u w:val="single"/>
    </w:rPr>
  </w:style>
  <w:style w:styleId="BookTitle" w:type="character">
    <w:name w:val="Book Title"/>
    <w:basedOn w:val="DefaultParagraphFont"/>
    <w:uiPriority w:val="33"/>
    <w:qFormat/>
    <w:rsid w:val="00FC693F"/>
    <w:rPr>
      <w:rFonts w:ascii="Times New Roman" w:hAnsi="Times New Roman" w:eastAsia="Songti SC"/>
      <w:b/>
      <w:bCs/>
      <w:smallCaps/>
      <w:color w:val="000000"/>
      <w:spacing w:val="5"/>
    </w:rPr>
  </w:style>
  <w:style w:styleId="TOCHeading" w:type="paragraph">
    <w:name w:val="TOC Heading"/>
    <w:basedOn w:val="Heading1"/>
    <w:next w:val="Normal"/>
    <w:uiPriority w:val="39"/>
    <w:semiHidden/>
    <w:unhideWhenUsed/>
    <w:qFormat/>
    <w:rsid w:val="00FC693F"/>
    <w:pPr>
      <w:spacing w:line="259" w:lineRule="auto" w:after="120"/>
      <w:outlineLvl w:val="9"/>
    </w:pPr>
    <w:rPr>
      <w:rFonts w:ascii="Times New Roman" w:eastAsia="Songti SC" w:hAnsi="Times New Roman"/>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line="259" w:lineRule="auto" w:after="120"/>
    </w:pPr>
    <w:rPr>
      <w:rFonts w:ascii="Menlo" w:hAnsi="Menlo" w:eastAsia="Songti SC"/>
      <w:color w:val="000000"/>
      <w:sz w:val="18"/>
    </w:rPr>
  </w:style>
  <w:style w:type="character" w:customStyle="1" w:styleId="KeywordTok">
    <w:name w:val="KeywordTok"/>
    <w:basedOn w:val="VerbatimChar"/>
    <w:rPr>
      <w:rFonts w:ascii="Times New Roman" w:hAnsi="Times New Roman" w:eastAsia="Songti SC"/>
      <w:b/>
      <w:color w:val="000000"/>
    </w:rPr>
  </w:style>
  <w:style w:type="character" w:customStyle="1" w:styleId="DataTypeTok">
    <w:name w:val="DataTypeTok"/>
    <w:basedOn w:val="VerbatimChar"/>
    <w:rPr>
      <w:rFonts w:ascii="Times New Roman" w:hAnsi="Times New Roman" w:eastAsia="Songti SC"/>
      <w:color w:val="000000"/>
    </w:rPr>
  </w:style>
  <w:style w:type="character" w:customStyle="1" w:styleId="DecValTok">
    <w:name w:val="DecValTok"/>
    <w:basedOn w:val="VerbatimChar"/>
    <w:rPr>
      <w:rFonts w:ascii="Times New Roman" w:hAnsi="Times New Roman" w:eastAsia="Songti SC"/>
      <w:color w:val="000000"/>
    </w:rPr>
  </w:style>
  <w:style w:type="character" w:customStyle="1" w:styleId="BaseNTok">
    <w:name w:val="BaseNTok"/>
    <w:basedOn w:val="VerbatimChar"/>
    <w:rPr>
      <w:rFonts w:ascii="Times New Roman" w:hAnsi="Times New Roman" w:eastAsia="Songti SC"/>
      <w:color w:val="000000"/>
    </w:rPr>
  </w:style>
  <w:style w:type="character" w:customStyle="1" w:styleId="FloatTok">
    <w:name w:val="FloatTok"/>
    <w:basedOn w:val="VerbatimChar"/>
    <w:rPr>
      <w:rFonts w:ascii="Times New Roman" w:hAnsi="Times New Roman" w:eastAsia="Songti SC"/>
      <w:color w:val="000000"/>
    </w:rPr>
  </w:style>
  <w:style w:type="character" w:customStyle="1" w:styleId="ConstantTok">
    <w:name w:val="ConstantTok"/>
    <w:basedOn w:val="VerbatimChar"/>
    <w:rPr>
      <w:rFonts w:ascii="Times New Roman" w:hAnsi="Times New Roman" w:eastAsia="Songti SC"/>
      <w:color w:val="000000"/>
    </w:rPr>
  </w:style>
  <w:style w:type="character" w:customStyle="1" w:styleId="CharTok">
    <w:name w:val="CharTok"/>
    <w:basedOn w:val="VerbatimChar"/>
    <w:rPr>
      <w:rFonts w:ascii="Times New Roman" w:hAnsi="Times New Roman" w:eastAsia="Songti SC"/>
      <w:color w:val="000000"/>
    </w:rPr>
  </w:style>
  <w:style w:type="character" w:customStyle="1" w:styleId="SpecialCharTok">
    <w:name w:val="SpecialCharTok"/>
    <w:basedOn w:val="VerbatimChar"/>
    <w:rPr>
      <w:rFonts w:ascii="Times New Roman" w:hAnsi="Times New Roman" w:eastAsia="Songti SC"/>
      <w:color w:val="000000"/>
    </w:rPr>
  </w:style>
  <w:style w:type="character" w:customStyle="1" w:styleId="StringTok">
    <w:name w:val="StringTok"/>
    <w:basedOn w:val="VerbatimChar"/>
    <w:rPr>
      <w:rFonts w:ascii="Times New Roman" w:hAnsi="Times New Roman" w:eastAsia="Songti SC"/>
      <w:color w:val="000000"/>
    </w:rPr>
  </w:style>
  <w:style w:type="character" w:customStyle="1" w:styleId="VerbatimStringTok">
    <w:name w:val="VerbatimStringTok"/>
    <w:basedOn w:val="VerbatimChar"/>
    <w:rPr>
      <w:rFonts w:ascii="Times New Roman" w:hAnsi="Times New Roman" w:eastAsia="Songti SC"/>
      <w:color w:val="000000"/>
    </w:rPr>
  </w:style>
  <w:style w:type="character" w:customStyle="1" w:styleId="SpecialStringTok">
    <w:name w:val="SpecialStringTok"/>
    <w:basedOn w:val="VerbatimChar"/>
    <w:rPr>
      <w:rFonts w:ascii="Times New Roman" w:hAnsi="Times New Roman" w:eastAsia="Songti SC"/>
      <w:color w:val="000000"/>
    </w:rPr>
  </w:style>
  <w:style w:type="character" w:customStyle="1" w:styleId="ImportTok">
    <w:name w:val="ImportTok"/>
    <w:basedOn w:val="VerbatimChar"/>
    <w:rPr>
      <w:rFonts w:ascii="Times New Roman" w:hAnsi="Times New Roman" w:eastAsia="Songti SC"/>
      <w:b/>
      <w:color w:val="000000"/>
    </w:rPr>
  </w:style>
  <w:style w:type="character" w:customStyle="1" w:styleId="CommentTok">
    <w:name w:val="CommentTok"/>
    <w:basedOn w:val="VerbatimChar"/>
    <w:rPr>
      <w:rFonts w:ascii="Times New Roman" w:hAnsi="Times New Roman" w:eastAsia="Songti SC"/>
      <w:i/>
      <w:color w:val="000000"/>
    </w:rPr>
  </w:style>
  <w:style w:type="character" w:customStyle="1" w:styleId="DocumentationTok">
    <w:name w:val="DocumentationTok"/>
    <w:basedOn w:val="VerbatimChar"/>
    <w:rPr>
      <w:rFonts w:ascii="Times New Roman" w:hAnsi="Times New Roman" w:eastAsia="Songti SC"/>
      <w:i/>
      <w:color w:val="000000"/>
    </w:rPr>
  </w:style>
  <w:style w:type="character" w:customStyle="1" w:styleId="AnnotationTok">
    <w:name w:val="AnnotationTok"/>
    <w:basedOn w:val="VerbatimChar"/>
    <w:rPr>
      <w:rFonts w:ascii="Times New Roman" w:hAnsi="Times New Roman" w:eastAsia="Songti SC"/>
      <w:b/>
      <w:i/>
      <w:color w:val="000000"/>
    </w:rPr>
  </w:style>
  <w:style w:type="character" w:customStyle="1" w:styleId="CommentVarTok">
    <w:name w:val="CommentVarTok"/>
    <w:basedOn w:val="VerbatimChar"/>
    <w:rPr>
      <w:rFonts w:ascii="Times New Roman" w:hAnsi="Times New Roman" w:eastAsia="Songti SC"/>
      <w:b/>
      <w:i/>
      <w:color w:val="000000"/>
    </w:rPr>
  </w:style>
  <w:style w:type="character" w:customStyle="1" w:styleId="OtherTok">
    <w:name w:val="OtherTok"/>
    <w:basedOn w:val="VerbatimChar"/>
    <w:rPr>
      <w:rFonts w:ascii="Times New Roman" w:hAnsi="Times New Roman" w:eastAsia="Songti SC"/>
      <w:color w:val="000000"/>
    </w:rPr>
  </w:style>
  <w:style w:type="character" w:customStyle="1" w:styleId="FunctionTok">
    <w:name w:val="FunctionTok"/>
    <w:basedOn w:val="VerbatimChar"/>
    <w:rPr>
      <w:rFonts w:ascii="Times New Roman" w:hAnsi="Times New Roman" w:eastAsia="Songti SC"/>
      <w:color w:val="000000"/>
    </w:rPr>
  </w:style>
  <w:style w:type="character" w:customStyle="1" w:styleId="VariableTok">
    <w:name w:val="VariableTok"/>
    <w:basedOn w:val="VerbatimChar"/>
    <w:rPr>
      <w:rFonts w:ascii="Times New Roman" w:hAnsi="Times New Roman" w:eastAsia="Songti SC"/>
      <w:color w:val="000000"/>
    </w:rPr>
  </w:style>
  <w:style w:type="character" w:customStyle="1" w:styleId="ControlFlowTok">
    <w:name w:val="ControlFlowTok"/>
    <w:basedOn w:val="VerbatimChar"/>
    <w:rPr>
      <w:rFonts w:ascii="Times New Roman" w:hAnsi="Times New Roman" w:eastAsia="Songti SC"/>
      <w:b/>
      <w:color w:val="000000"/>
    </w:rPr>
  </w:style>
  <w:style w:type="character" w:customStyle="1" w:styleId="OperatorTok">
    <w:name w:val="OperatorTok"/>
    <w:basedOn w:val="VerbatimChar"/>
    <w:rPr>
      <w:rFonts w:ascii="Times New Roman" w:hAnsi="Times New Roman" w:eastAsia="Songti SC"/>
      <w:color w:val="000000"/>
    </w:rPr>
  </w:style>
  <w:style w:type="character" w:customStyle="1" w:styleId="BuiltInTok">
    <w:name w:val="BuiltInTok"/>
    <w:basedOn w:val="VerbatimChar"/>
    <w:rPr>
      <w:rFonts w:ascii="Times New Roman" w:hAnsi="Times New Roman" w:eastAsia="Songti SC"/>
      <w:color w:val="000000"/>
    </w:rPr>
  </w:style>
  <w:style w:type="character" w:customStyle="1" w:styleId="ExtensionTok">
    <w:name w:val="ExtensionTok"/>
    <w:basedOn w:val="VerbatimChar"/>
    <w:rPr>
      <w:rFonts w:ascii="Times New Roman" w:hAnsi="Times New Roman" w:eastAsia="Songti SC"/>
      <w:color w:val="000000"/>
    </w:rPr>
  </w:style>
  <w:style w:type="character" w:customStyle="1" w:styleId="PreprocessorTok">
    <w:name w:val="PreprocessorTok"/>
    <w:basedOn w:val="VerbatimChar"/>
    <w:rPr>
      <w:rFonts w:ascii="Times New Roman" w:hAnsi="Times New Roman" w:eastAsia="Songti SC"/>
      <w:color w:val="000000"/>
    </w:rPr>
  </w:style>
  <w:style w:type="character" w:customStyle="1" w:styleId="AttributeTok">
    <w:name w:val="AttributeTok"/>
    <w:basedOn w:val="VerbatimChar"/>
    <w:rPr>
      <w:rFonts w:ascii="Times New Roman" w:hAnsi="Times New Roman" w:eastAsia="Songti SC"/>
      <w:color w:val="000000"/>
    </w:rPr>
  </w:style>
  <w:style w:type="character" w:customStyle="1" w:styleId="RegionMarkerTok">
    <w:name w:val="RegionMarkerTok"/>
    <w:basedOn w:val="VerbatimChar"/>
    <w:rPr>
      <w:rFonts w:ascii="Times New Roman" w:hAnsi="Times New Roman" w:eastAsia="Songti SC"/>
      <w:color w:val="000000"/>
    </w:rPr>
  </w:style>
  <w:style w:type="character" w:customStyle="1" w:styleId="InformationTok">
    <w:name w:val="InformationTok"/>
    <w:basedOn w:val="VerbatimChar"/>
    <w:rPr>
      <w:rFonts w:ascii="Times New Roman" w:hAnsi="Times New Roman" w:eastAsia="Songti SC"/>
      <w:b/>
      <w:i/>
      <w:color w:val="000000"/>
    </w:rPr>
  </w:style>
  <w:style w:type="character" w:customStyle="1" w:styleId="WarningTok">
    <w:name w:val="WarningTok"/>
    <w:basedOn w:val="VerbatimChar"/>
    <w:rPr>
      <w:rFonts w:ascii="Times New Roman" w:hAnsi="Times New Roman" w:eastAsia="Songti SC"/>
      <w:b/>
      <w:i/>
      <w:color w:val="000000"/>
    </w:rPr>
  </w:style>
  <w:style w:type="character" w:customStyle="1" w:styleId="AlertTok">
    <w:name w:val="AlertTok"/>
    <w:basedOn w:val="VerbatimChar"/>
    <w:rPr>
      <w:rFonts w:ascii="Times New Roman" w:hAnsi="Times New Roman" w:eastAsia="Songti SC"/>
      <w:b/>
      <w:color w:val="000000"/>
    </w:rPr>
  </w:style>
  <w:style w:type="character" w:customStyle="1" w:styleId="ErrorTok">
    <w:name w:val="ErrorTok"/>
    <w:basedOn w:val="VerbatimChar"/>
    <w:rPr>
      <w:rFonts w:ascii="Times New Roman" w:hAnsi="Times New Roman" w:eastAsia="Songti SC"/>
      <w:b/>
      <w:color w:val="000000"/>
    </w:rPr>
  </w:style>
  <w:style w:type="character" w:customStyle="1" w:styleId="NormalTok">
    <w:name w:val="NormalTok"/>
    <w:basedOn w:val="VerbatimChar"/>
    <w:rPr>
      <w:rFonts w:ascii="Times New Roman" w:hAnsi="Times New Roman" w:eastAsia="Songti S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7" Type="http://schemas.openxmlformats.org/officeDocument/2006/relationships/hyperlink" Target="https://dlmf.nist.gov/28.17" TargetMode="External"/><Relationship Id="rId26" Type="http://schemas.openxmlformats.org/officeDocument/2006/relationships/hyperlink" Target="https://dlmf.nist.gov/28.2" TargetMode="External"/><Relationship Id="rId28" Type="http://schemas.openxmlformats.org/officeDocument/2006/relationships/hyperlink" Target="https://docs.scipy.org/doc/scipy/reference/generated/scipy.special.mathieu_a.html" TargetMode="External"/><Relationship Id="rId29" Type="http://schemas.openxmlformats.org/officeDocument/2006/relationships/hyperlink" Target="https://docs.scipy.org/doc/scipy/reference/generated/scipy.special.mathieu_b.html" TargetMode="External"/><Relationship Id="rId30" Type="http://schemas.openxmlformats.org/officeDocument/2006/relationships/hyperlink" Target="https://www-nds.iaea.org/amdc/ame2020/mass_1.mas20.txt" TargetMode="External"/><Relationship Id="rId31" Type="http://schemas.openxmlformats.org/officeDocument/2006/relationships/hyperlink" Target="https://www-nds.iaea.org/amdc/ame2020/nubase_4.mas20.txt"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dlmf.nist.gov/28.17" TargetMode="External"/><Relationship Id="rId26" Type="http://schemas.openxmlformats.org/officeDocument/2006/relationships/hyperlink" Target="https://dlmf.nist.gov/28.2" TargetMode="External"/><Relationship Id="rId28" Type="http://schemas.openxmlformats.org/officeDocument/2006/relationships/hyperlink" Target="https://docs.scipy.org/doc/scipy/reference/generated/scipy.special.mathieu_a.html" TargetMode="External"/><Relationship Id="rId29" Type="http://schemas.openxmlformats.org/officeDocument/2006/relationships/hyperlink" Target="https://docs.scipy.org/doc/scipy/reference/generated/scipy.special.mathieu_b.html" TargetMode="External"/><Relationship Id="rId30" Type="http://schemas.openxmlformats.org/officeDocument/2006/relationships/hyperlink" Target="https://www-nds.iaea.org/amdc/ame2020/mass_1.mas20.txt" TargetMode="External"/><Relationship Id="rId31" Type="http://schemas.openxmlformats.org/officeDocument/2006/relationships/hyperlink" Target="https://www-nds.iaea.org/amdc/ame2020/nubase_4.mas20.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Mathieu 稳定性操作手册</dc:title>
  <dc:creator>TrapLab documentation</dc:creator>
  <cp:keywords/>
  <dcterms:created xsi:type="dcterms:W3CDTF">2026-10-24T02:49:21Z</dcterms:created>
  <dcterms:modified xsi:type="dcterms:W3CDTF">2026-10-24T02:49:21Z</dcterms:modified>
  <cp:lastModifiedBy>TrapLab documentation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date">
    <vt:lpwstr>2026-10-24</vt:lpwstr>
  </property>
  <property fmtid="{D5CDD505-2E9C-101B-9397-08002B2CF9AE}" pid="4" name="documentclass">
    <vt:lpwstr>revtex4-2</vt:lpwstr>
  </property>
</Properties>
</file>