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rPr>
          <w:rFonts w:ascii="Times New Roman" w:hAnsi="Times New Roman" w:eastAsia="楷体"/>
          <w:b w:val="0"/>
          <w:sz w:val="21"/>
        </w:rPr>
        <w:t>针对 MEMS 惯性传感器原始测量精度有限、易受零偏漂移、比例因子误差、安装误差和环境干扰影响等问题，本文设计并实现了一种基于 ESP32-WROOM-32 的多传感器融合扩展板。系统以自制 PCB 扩展板为硬件载体，集成 MPU6050 六轴惯性测量单元、HMC5883L 三轴磁力计以及BMP280 气压传感器，并预留 GPS UART 接口，用于构建可复现的姿态测量与传感器融合实验平台。硬件设计部分完成了系统需求分析、原理图设计、PCB 布局布线、信号完整性设计和测试点规划。算法部分围绕传感器误差建模与精度提升展开，设计了加速度计六位置标定、磁力计椭球拟合标定、陀螺仪零偏估计与 Allan 方差分析方法，并实现互补滤波、Madgwick/Mahony 滤波以及简化误差状态卡尔曼滤波。为进一步提升传感器信号质量，本文还设计了基于 1D-CNN 的 IMU 噪声去除方法，并与传统滤波方法进行对比。实验部分将围绕 PCB 实物调试、传感器标定效果、姿态估计精度、系统更新频率、功耗和成本等指标展开验证。实测结果显示，加速度计六位置标定后平均模长误差由 10.401 mg 降至 0.021 mg，提升约 497.17 倍；1 h 静态 Allan 方差记录的平均采样率为 200.000 Hz，gz 轴 ARW 为 0.005880 deg/sqrt(s)，BI 最小 Allan 偏差为 0.001145 deg/s；互补滤波在水平静止段 roll 标准差为 0.196 deg、pitch 标准差为 0.019 deg，并能在晃动后回到近水平稳定状态；GNSS 扩展测试中 NMEA 数据有效率为 82.11%。结果表明，该平台已具备传感器采集、标定补偿、姿态融合和扩展数据记录能力，但磁力计、气压计、功耗、成本和 AI 去噪的完整终稿指标仍需结合最终硬件实测继续补齐。</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rPr>
          <w:rFonts w:ascii="Times New Roman" w:hAnsi="Times New Roman" w:eastAsia="宋体"/>
          <w:b w:val="0"/>
          <w:sz w:val="24"/>
        </w:rPr>
        <w:t>第三，实现并对比多种姿态估计算法。本文设计互补滤波、Madgwick/Mahony 滤波和简化 ESKF，实现对 roll、pitch、yaw 姿态角的实时估计，并从精度、稳定性、计算量和实时性等方面进行对比。</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MPU6050、HMC5883L 和BMP280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bookmarkStart w:id="0" w:name="_GoBack"/>
      <w:r>
        <w:drawing>
          <wp:anchor distT="0" distB="0" distL="114300" distR="114300" simplePos="0" relativeHeight="251663360" behindDoc="0" locked="0" layoutInCell="1" allowOverlap="1">
            <wp:simplePos x="0" y="0"/>
            <wp:positionH relativeFrom="column">
              <wp:posOffset>124460</wp:posOffset>
            </wp:positionH>
            <wp:positionV relativeFrom="paragraph">
              <wp:posOffset>-5230495</wp:posOffset>
            </wp:positionV>
            <wp:extent cx="5544185" cy="4070985"/>
            <wp:effectExtent l="0" t="0" r="8890" b="571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544185" cy="4070985"/>
                    </a:xfrm>
                    <a:prstGeom prst="rect">
                      <a:avLst/>
                    </a:prstGeom>
                    <a:noFill/>
                    <a:ln>
                      <a:noFill/>
                    </a:ln>
                  </pic:spPr>
                </pic:pic>
              </a:graphicData>
            </a:graphic>
          </wp:anchor>
        </w:drawing>
      </w:r>
      <w:bookmarkEnd w:id="0"/>
      <w:r>
        <w:drawing>
          <wp:anchor distT="0" distB="0" distL="114300" distR="114300" simplePos="0" relativeHeight="251659264" behindDoc="0" locked="0" layoutInCell="1" allowOverlap="1">
            <wp:simplePos x="0" y="0"/>
            <wp:positionH relativeFrom="column">
              <wp:posOffset>525145</wp:posOffset>
            </wp:positionH>
            <wp:positionV relativeFrom="paragraph">
              <wp:posOffset>128905</wp:posOffset>
            </wp:positionV>
            <wp:extent cx="4775835" cy="3183890"/>
            <wp:effectExtent l="0" t="0" r="5715" b="698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775835" cy="3183890"/>
                    </a:xfrm>
                    <a:prstGeom prst="rect">
                      <a:avLst/>
                    </a:prstGeom>
                    <a:noFill/>
                    <a:ln>
                      <a:noFill/>
                    </a:ln>
                  </pic:spPr>
                </pic:pic>
              </a:graphicData>
            </a:graphic>
          </wp:anchor>
        </w:drawing>
      </w:r>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drawing>
          <wp:anchor distT="0" distB="0" distL="114300" distR="114300" simplePos="0" relativeHeight="251660288" behindDoc="0" locked="0" layoutInCell="1" allowOverlap="1">
            <wp:simplePos x="0" y="0"/>
            <wp:positionH relativeFrom="column">
              <wp:posOffset>344170</wp:posOffset>
            </wp:positionH>
            <wp:positionV relativeFrom="paragraph">
              <wp:posOffset>299085</wp:posOffset>
            </wp:positionV>
            <wp:extent cx="5537200" cy="3514725"/>
            <wp:effectExtent l="0" t="0" r="635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537200" cy="3514725"/>
                    </a:xfrm>
                    <a:prstGeom prst="rect">
                      <a:avLst/>
                    </a:prstGeom>
                    <a:noFill/>
                    <a:ln>
                      <a:noFill/>
                    </a:ln>
                  </pic:spPr>
                </pic:pic>
              </a:graphicData>
            </a:graphic>
          </wp:anchor>
        </w:drawing>
      </w: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r>
        <w:drawing>
          <wp:anchor distT="0" distB="0" distL="114300" distR="114300" simplePos="0" relativeHeight="251662336" behindDoc="0" locked="0" layoutInCell="1" allowOverlap="1">
            <wp:simplePos x="0" y="0"/>
            <wp:positionH relativeFrom="column">
              <wp:posOffset>274955</wp:posOffset>
            </wp:positionH>
            <wp:positionV relativeFrom="paragraph">
              <wp:posOffset>3723640</wp:posOffset>
            </wp:positionV>
            <wp:extent cx="5542915" cy="3362325"/>
            <wp:effectExtent l="0" t="0" r="63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542915" cy="3362325"/>
                    </a:xfrm>
                    <a:prstGeom prst="rect">
                      <a:avLst/>
                    </a:prstGeom>
                    <a:noFill/>
                    <a:ln>
                      <a:noFill/>
                    </a:ln>
                  </pic:spPr>
                </pic:pic>
              </a:graphicData>
            </a:graphic>
          </wp:anchor>
        </w:drawing>
      </w:r>
    </w:p>
    <w:p w14:paraId="1FD974DB">
      <w:pPr>
        <w:pStyle w:val="4"/>
        <w:rPr>
          <w:rFonts w:ascii="Times New Roman" w:hAnsi="Times New Roman" w:eastAsia="黑体"/>
          <w:b/>
          <w:sz w:val="24"/>
        </w:rPr>
      </w:pPr>
      <w:r>
        <w:rPr>
          <w:rFonts w:ascii="Times New Roman" w:hAnsi="Times New Roman" w:eastAsia="黑体"/>
          <w:b/>
          <w:sz w:val="24"/>
        </w:rPr>
        <w:t>2.5 加工与焊接</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drawing>
          <wp:anchor distT="0" distB="0" distL="114300" distR="114300" simplePos="0" relativeHeight="251661312" behindDoc="0" locked="0" layoutInCell="1" allowOverlap="1">
            <wp:simplePos x="0" y="0"/>
            <wp:positionH relativeFrom="column">
              <wp:posOffset>119380</wp:posOffset>
            </wp:positionH>
            <wp:positionV relativeFrom="paragraph">
              <wp:posOffset>-1906270</wp:posOffset>
            </wp:positionV>
            <wp:extent cx="5541010" cy="4081780"/>
            <wp:effectExtent l="0" t="0" r="2540" b="444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541010" cy="4081780"/>
                    </a:xfrm>
                    <a:prstGeom prst="rect">
                      <a:avLst/>
                    </a:prstGeom>
                    <a:noFill/>
                    <a:ln>
                      <a:noFill/>
                    </a:ln>
                  </pic:spPr>
                </pic:pic>
              </a:graphicData>
            </a:graphic>
          </wp:anchor>
        </w:drawing>
      </w: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rPr>
          <w:rFonts w:ascii="Times New Roman" w:hAnsi="Times New Roman" w:eastAsia="宋体"/>
          <w:b w:val="0"/>
          <w:sz w:val="24"/>
        </w:rPr>
        <w:t>六位置标定每个姿态采集 1200 组静态数据，数据来源为 accel_6pos_means_final_group.csv，采样时尽量保持传感器静止并分别对准 +X、-X、+Y、-Y、+Z、-Z 六个方向。</w:t>
      </w:r>
    </w:p>
    <w:p w14:paraId="7200825E">
      <w:pPr>
        <w:spacing w:before="0" w:after="0" w:line="400" w:lineRule="exact"/>
      </w:pPr>
      <w:r>
        <w:rPr>
          <w:rFonts w:ascii="Times New Roman" w:hAnsi="Times New Roman" w:eastAsia="宋体"/>
          <w:b w:val="0"/>
          <w:sz w:val="24"/>
        </w:rPr>
        <w:t>加速度计标定得到偏置向量 c=[0.00376301, 0.00625345, 0.01329749]，校正逆矩阵为 [[0.99745688, 0.00051362, 0.05411571], [-0.00911479, 0.99783450, 0.07146532], [-0.05087812, -0.06677926, 0.97727439]]。六位置平均模长误差由 10.401 mg 降至 0.021 mg，约提升 497.17 倍。</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rPr>
          <w:rFonts w:ascii="Times New Roman" w:hAnsi="Times New Roman" w:eastAsia="宋体"/>
          <w:b w:val="0"/>
          <w:sz w:val="24"/>
        </w:rPr>
        <w:t>本项目中，互补滤波作为基准算法，用于与 Madgwick/Mahony 滤波和 ESKF 进行对比。其优点是结构简单、计算量小、易于在 ESP32 上实时运行；不足是对 yaw 角约束能力较弱，且参数需要根据实际数据调节。</w:t>
      </w:r>
    </w:p>
    <w:p w14:paraId="320E06F8">
      <w:pPr>
        <w:pStyle w:val="4"/>
      </w:pPr>
      <w:r>
        <w:rPr>
          <w:rFonts w:ascii="Times New Roman" w:hAnsi="Times New Roman" w:eastAsia="黑体"/>
          <w:b/>
          <w:sz w:val="24"/>
        </w:rPr>
        <w:t>5.2 Madgwick/Mahony 滤波器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rPr>
          <w:rFonts w:ascii="Times New Roman" w:hAnsi="Times New Roman" w:eastAsia="宋体"/>
          <w:b w:val="0"/>
          <w:sz w:val="24"/>
        </w:rPr>
        <w:t>互补滤波采用 alpha=0.98，即 roll/pitch = 0.98 * 陀螺积分项 + 0.02 * 加速度计观测项；Madgwick/Mahony 参数将在同一测试序列上进一步整定。</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rPr>
          <w:rFonts w:ascii="Times New Roman" w:hAnsi="Times New Roman" w:eastAsia="黑体"/>
          <w:b/>
          <w:sz w:val="24"/>
        </w:rPr>
        <w:t>5.4 简化 ESKF 姿态估计</w:t>
      </w:r>
    </w:p>
    <w:p w14:paraId="54679F63">
      <w:pPr>
        <w:spacing w:before="0" w:after="0" w:line="400" w:lineRule="exact"/>
      </w:pPr>
      <w:r>
        <w:rPr>
          <w:rFonts w:ascii="Times New Roman" w:hAnsi="Times New Roman" w:eastAsia="宋体"/>
          <w:b w:val="0"/>
          <w:sz w:val="24"/>
        </w:rPr>
        <w:t>误差状态卡尔曼滤波将系统状态分为名义状态和误差状态。名义状态用于描述当前姿态、速度或位置估计，误差状态用于描述小量误差。对于姿态估计问题，直接在四元数空间进行线性化较复杂，而 ESKF 通过在误差状态中使用小角度扰动描述姿态误差，可以降低更新过程的复杂度。</w:t>
      </w:r>
    </w:p>
    <w:p w14:paraId="3E15CF98">
      <w:pPr>
        <w:spacing w:before="0" w:after="0" w:line="400" w:lineRule="exact"/>
      </w:pPr>
      <w:r>
        <w:rPr>
          <w:rFonts w:ascii="Times New Roman" w:hAnsi="Times New Roman" w:eastAsia="宋体"/>
          <w:b w:val="0"/>
          <w:sz w:val="24"/>
        </w:rPr>
        <w:t>本项目中的简化 ESKF 主要关注姿态误差和陀螺仪零偏。名义状态可表示为：</w:t>
      </w:r>
    </w:p>
    <w:p w14:paraId="3F018A94">
      <w:pPr>
        <w:spacing w:before="0" w:after="0" w:line="400" w:lineRule="exact"/>
      </w:pPr>
      <w:r>
        <w:rPr>
          <w:rFonts w:ascii="Times New Roman" w:hAnsi="Times New Roman" w:eastAsia="宋体"/>
          <w:b w:val="0"/>
          <w:sz w:val="24"/>
        </w:rPr>
        <w:t>x = [q, b_g]</w:t>
      </w:r>
    </w:p>
    <w:p w14:paraId="420E874C">
      <w:pPr>
        <w:spacing w:before="0" w:after="0" w:line="400" w:lineRule="exact"/>
      </w:pPr>
      <w:r>
        <w:rPr>
          <w:rFonts w:ascii="Times New Roman" w:hAnsi="Times New Roman" w:eastAsia="宋体"/>
          <w:b w:val="0"/>
          <w:sz w:val="24"/>
        </w:rPr>
        <w:t>其中 q 为姿态四元数，b_g 为陀螺仪零偏。误差状态可表示为：</w:t>
      </w:r>
    </w:p>
    <w:p w14:paraId="21D97398">
      <w:pPr>
        <w:spacing w:before="0" w:after="0" w:line="400" w:lineRule="exact"/>
      </w:pPr>
      <w:r>
        <w:rPr>
          <w:rFonts w:ascii="Times New Roman" w:hAnsi="Times New Roman" w:eastAsia="宋体"/>
          <w:b w:val="0"/>
          <w:sz w:val="24"/>
        </w:rPr>
        <w:t>delta_x = [delta_theta, delta_b_g]</w:t>
      </w:r>
    </w:p>
    <w:p w14:paraId="1986DF19">
      <w:pPr>
        <w:spacing w:before="0" w:after="0" w:line="400" w:lineRule="exact"/>
      </w:pPr>
      <w:r>
        <w:rPr>
          <w:rFonts w:ascii="Times New Roman" w:hAnsi="Times New Roman" w:eastAsia="宋体"/>
          <w:b w:val="0"/>
          <w:sz w:val="24"/>
        </w:rPr>
        <w:t>预测阶段使用陀螺仪角速度更新名义四元数，并根据过程噪声更新协方差矩阵。观测阶段利用加速度计提供重力方向观测，磁力计提供地磁方向观测，对姿态误差进行修正。更新完成后，将误差注入名义状态，并重置误差状态。</w:t>
      </w:r>
    </w:p>
    <w:p w14:paraId="31C733D1">
      <w:pPr>
        <w:spacing w:before="0" w:after="0" w:line="400" w:lineRule="exact"/>
      </w:pPr>
      <w:r>
        <w:rPr>
          <w:rFonts w:ascii="Times New Roman" w:hAnsi="Times New Roman" w:eastAsia="宋体"/>
          <w:b w:val="0"/>
          <w:sz w:val="24"/>
        </w:rPr>
        <w:t>ESKF 的优势在于能够以统一概率框架处理传感器噪声和状态不确定性，并能解释姿态误差状态的物理意义。其难点在于雅可比矩阵、噪声协方差和观测模型的构建。若本项目最终实现简化版本，应重点展示模型假设、状态定义、预测更新流程和与传统滤波的实验对比。</w:t>
      </w:r>
    </w:p>
    <w:p w14:paraId="0359B011">
      <w:pPr>
        <w:spacing w:before="0" w:after="0" w:line="400" w:lineRule="exact"/>
      </w:pPr>
      <w:r>
        <w:rPr>
          <w:rFonts w:ascii="Times New Roman" w:hAnsi="Times New Roman" w:eastAsia="宋体"/>
          <w:b w:val="0"/>
          <w:sz w:val="24"/>
        </w:rPr>
        <w:t>简化 ESKF 状态采用名义四元数 q 与陀螺仪零偏 b_g，误差状态采用小角度姿态误差 delta_theta 与零偏误差 delta_b_g。</w:t>
      </w:r>
    </w:p>
    <w:p w14:paraId="5A9D12AA">
      <w:pPr>
        <w:spacing w:before="0" w:after="0" w:line="400" w:lineRule="exact"/>
      </w:pPr>
      <w:r>
        <w:rPr>
          <w:rFonts w:ascii="Times New Roman" w:hAnsi="Times New Roman" w:eastAsia="宋体"/>
          <w:b w:val="0"/>
          <w:sz w:val="24"/>
        </w:rPr>
        <w:t>ESKF 过程噪声 Q 可由陀螺仪 Allan 方差和静态噪声统计初值设定，观测噪声 R 可由静止加速度计模长扰动和磁力计标定残差估计，终稿需结合完整对比实验调参。</w:t>
      </w:r>
    </w:p>
    <w:p w14:paraId="30BE1607">
      <w:pPr>
        <w:spacing w:before="0" w:after="0" w:line="400" w:lineRule="exact"/>
      </w:pPr>
      <w:r>
        <w:rPr>
          <w:rFonts w:ascii="Times New Roman" w:hAnsi="Times New Roman" w:eastAsia="宋体"/>
          <w:b w:val="0"/>
          <w:sz w:val="24"/>
        </w:rPr>
        <w:t>由于当前已完成的可追溯姿态数据主要来自互补滤波序列，ESKF 定量对比暂作为后续补测项目；本文先给出状态设计和参数整定依据。</w:t>
      </w:r>
    </w:p>
    <w:p w14:paraId="21C7AA1D">
      <w:pPr>
        <w:pStyle w:val="4"/>
      </w:pPr>
      <w:r>
        <w:rPr>
          <w:rFonts w:ascii="Times New Roman" w:hAnsi="Times New Roman" w:eastAsia="黑体"/>
          <w:b/>
          <w:sz w:val="24"/>
        </w:rPr>
        <w:t>5.5 1D-CNN IMU 噪声去除</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14:paraId="31D2ED61">
      <w:pPr>
        <w:spacing w:before="0" w:after="0" w:line="400" w:lineRule="exact"/>
        <w:jc w:val="center"/>
      </w:pPr>
      <w:r>
        <w:rPr>
          <w:rFonts w:ascii="Times New Roman" w:hAnsi="Times New Roman" w:eastAsia="宋体"/>
          <w:b w:val="0"/>
          <w:sz w:val="21"/>
        </w:rPr>
        <w:t>表 3 汇总当前已完成数据能够支撑的 Spec 达成情况。对于功耗、单板成本、磁力计完整标定和气压计高度测试，当前仓库尚缺最终实测记录，因此在表中标为待补测。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A564A3B">
            <w:pPr>
              <w:spacing w:after="0" w:line="320" w:lineRule="exact"/>
            </w:pPr>
            <w:r>
              <w:rPr>
                <w:rFonts w:ascii="Times New Roman" w:hAnsi="Times New Roman" w:eastAsia="宋体"/>
                <w:b w:val="0"/>
                <w:sz w:val="21"/>
              </w:rPr>
              <w:t>纯惯导漂移</w:t>
            </w:r>
          </w:p>
        </w:tc>
        <w:tc>
          <w:tcPr>
            <w:tcW w:w="1746" w:type="dxa"/>
            <w:vAlign w:val="center"/>
          </w:tcPr>
          <w:p w14:paraId="6814ED04">
            <w:pPr>
              <w:spacing w:after="0" w:line="320" w:lineRule="exact"/>
            </w:pPr>
            <w:r>
              <w:rPr>
                <w:rFonts w:ascii="Times New Roman" w:hAnsi="Times New Roman" w:eastAsia="宋体"/>
                <w:b w:val="0"/>
                <w:sz w:val="21"/>
              </w:rPr>
              <w:t>&lt;= 3 m/min</w:t>
            </w:r>
          </w:p>
        </w:tc>
        <w:tc>
          <w:tcPr>
            <w:tcW w:w="1746" w:type="dxa"/>
            <w:vAlign w:val="center"/>
          </w:tcPr>
          <w:p w14:paraId="56D2F2C6">
            <w:pPr>
              <w:spacing w:after="0" w:line="320" w:lineRule="exact"/>
            </w:pPr>
            <w:r>
              <w:rPr>
                <w:rFonts w:ascii="Times New Roman" w:hAnsi="Times New Roman" w:eastAsia="宋体"/>
                <w:b w:val="0"/>
                <w:sz w:val="21"/>
              </w:rPr>
              <w:t>暂无位置积分漂移实测</w:t>
            </w:r>
          </w:p>
        </w:tc>
        <w:tc>
          <w:tcPr>
            <w:tcW w:w="1746" w:type="dxa"/>
            <w:vAlign w:val="center"/>
          </w:tcPr>
          <w:p w14:paraId="77DFA6CB">
            <w:pPr>
              <w:spacing w:after="0" w:line="320" w:lineRule="exact"/>
            </w:pPr>
            <w:r>
              <w:rPr>
                <w:rFonts w:ascii="Times New Roman" w:hAnsi="Times New Roman" w:eastAsia="宋体"/>
                <w:b w:val="0"/>
                <w:sz w:val="21"/>
              </w:rPr>
              <w:t>待补测</w:t>
            </w:r>
          </w:p>
        </w:tc>
        <w:tc>
          <w:tcPr>
            <w:tcW w:w="1746" w:type="dxa"/>
            <w:vAlign w:val="center"/>
          </w:tcPr>
          <w:p w14:paraId="5FD68949">
            <w:pPr>
              <w:spacing w:after="0" w:line="320" w:lineRule="exact"/>
            </w:pPr>
            <w:r>
              <w:rPr>
                <w:rFonts w:ascii="Times New Roman" w:hAnsi="Times New Roman" w:eastAsia="宋体"/>
                <w:b w:val="0"/>
                <w:sz w:val="21"/>
              </w:rPr>
              <w:t>当前重点为姿态角与 IMU 噪声</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14:paraId="72FC8C56">
            <w:pPr>
              <w:spacing w:after="0" w:line="320" w:lineRule="exact"/>
            </w:pPr>
            <w:r>
              <w:rPr>
                <w:rFonts w:ascii="Times New Roman" w:hAnsi="Times New Roman" w:eastAsia="宋体"/>
                <w:b w:val="0"/>
                <w:sz w:val="21"/>
              </w:rPr>
              <w:t>互补滤波姿态序列约 20 Hz 输出；IMU 原始 Allan 记录 200 Hz</w:t>
            </w:r>
          </w:p>
        </w:tc>
        <w:tc>
          <w:tcPr>
            <w:tcW w:w="1746" w:type="dxa"/>
            <w:vAlign w:val="center"/>
          </w:tcPr>
          <w:p w14:paraId="149CEF86">
            <w:pPr>
              <w:spacing w:after="0" w:line="320" w:lineRule="exact"/>
            </w:pPr>
            <w:r>
              <w:rPr>
                <w:rFonts w:ascii="Times New Roman" w:hAnsi="Times New Roman" w:eastAsia="宋体"/>
                <w:b w:val="0"/>
                <w:sz w:val="21"/>
              </w:rPr>
              <w:t>部分达成</w:t>
            </w:r>
          </w:p>
        </w:tc>
        <w:tc>
          <w:tcPr>
            <w:tcW w:w="1746" w:type="dxa"/>
            <w:vAlign w:val="center"/>
          </w:tcPr>
          <w:p w14:paraId="4CC8A3EF">
            <w:pPr>
              <w:spacing w:after="0" w:line="320" w:lineRule="exact"/>
            </w:pPr>
            <w:r>
              <w:rPr>
                <w:rFonts w:ascii="Times New Roman" w:hAnsi="Times New Roman" w:eastAsia="宋体"/>
                <w:b w:val="0"/>
                <w:sz w:val="21"/>
              </w:rPr>
              <w:t>采样率达成，姿态串口输出频率需提高或分离统计</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14:paraId="1DAF9B8D">
            <w:pPr>
              <w:spacing w:after="0" w:line="320" w:lineRule="exact"/>
            </w:pPr>
            <w:r>
              <w:rPr>
                <w:rFonts w:ascii="Times New Roman" w:hAnsi="Times New Roman" w:eastAsia="宋体"/>
                <w:b w:val="0"/>
                <w:sz w:val="21"/>
              </w:rPr>
              <w:t>Allan 记录平均 200.000 Hz</w:t>
            </w:r>
          </w:p>
        </w:tc>
        <w:tc>
          <w:tcPr>
            <w:tcW w:w="1746" w:type="dxa"/>
            <w:vAlign w:val="center"/>
          </w:tcPr>
          <w:p w14:paraId="11DF1D20">
            <w:pPr>
              <w:spacing w:after="0" w:line="320" w:lineRule="exact"/>
            </w:pPr>
            <w:r>
              <w:rPr>
                <w:rFonts w:ascii="Times New Roman" w:hAnsi="Times New Roman" w:eastAsia="宋体"/>
                <w:b w:val="0"/>
                <w:sz w:val="21"/>
              </w:rPr>
              <w:t>达成</w:t>
            </w:r>
          </w:p>
        </w:tc>
        <w:tc>
          <w:tcPr>
            <w:tcW w:w="1746" w:type="dxa"/>
            <w:vAlign w:val="center"/>
          </w:tcPr>
          <w:p w14:paraId="723CEFD1">
            <w:pPr>
              <w:spacing w:after="0" w:line="320" w:lineRule="exact"/>
            </w:pPr>
            <w:r>
              <w:rPr>
                <w:rFonts w:ascii="Times New Roman" w:hAnsi="Times New Roman" w:eastAsia="宋体"/>
                <w:b w:val="0"/>
                <w:sz w:val="21"/>
              </w:rPr>
              <w:t>allan_raw_1h.csv，719946 行</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14:paraId="696EDC8C">
      <w:pPr>
        <w:spacing w:before="0" w:after="0" w:line="400" w:lineRule="exact"/>
      </w:pPr>
      <w:r>
        <w:rPr>
          <w:rFonts w:ascii="Times New Roman" w:hAnsi="Times New Roman" w:eastAsia="宋体"/>
          <w:b w:val="0"/>
          <w:sz w:val="24"/>
        </w:rPr>
        <w:t>加速度计六位置标定使用 accel_6pos_means_final_group.csv，每个姿态采集 1200 组数据。标定模型为 measured = A * true + c，求得偏置 c=[0.00376301, 0.00625345, 0.01329749]。固件端采用 A 的逆矩阵进行实时校正，校正矩阵为 [[0.99745688, 0.00051362, 0.05411571], [-0.00911479, 0.99783450, 0.07146532], [-0.05087812, -0.06677926, 0.97727439]]。</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rPr>
          <w:rFonts w:ascii="Times New Roman" w:hAnsi="Times New Roman" w:eastAsia="宋体"/>
          <w:b w:val="0"/>
          <w:sz w:val="24"/>
        </w:rPr>
        <w:t>标定后六个方向的平均模长误差由 10.401 mg 降至 0.021 mg，说明六位置最小二乘标定能够显著补偿零偏、比例因子和轴间耦合误差。磁力计椭球标定的数据文件在当前目录中尚未形成完整归档，终稿应补充原始点云、校正后点云、硬铁偏置和软铁补偿矩阵。</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rPr>
          <w:rFonts w:ascii="Times New Roman" w:hAnsi="Times New Roman" w:eastAsia="宋体"/>
          <w:b w:val="0"/>
          <w:sz w:val="24"/>
        </w:rPr>
        <w:t>Madgwick/Mahony 与简化 ESKF 已在方案中给出实现路径，但当前缺少同一测试序列下的完整定量对比。终稿可在现有姿态 CSV 基础上离线补跑不同算法，补充静态标准差、动态响应延迟、平均运行时间和更新频率。</w:t>
      </w:r>
    </w:p>
    <w:p w14:paraId="6C0A055D">
      <w:pPr>
        <w:pStyle w:val="4"/>
      </w:pPr>
      <w:r>
        <w:rPr>
          <w:rFonts w:ascii="Times New Roman" w:hAnsi="Times New Roman" w:eastAsia="黑体"/>
          <w:b/>
          <w:sz w:val="24"/>
        </w:rPr>
        <w:t>6.6 AI 去噪实验结果</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rPr>
          <w:rFonts w:ascii="Times New Roman" w:hAnsi="Times New Roman" w:eastAsia="宋体"/>
          <w:b w:val="0"/>
          <w:sz w:val="24"/>
        </w:rPr>
        <w:t>实验结果表明，加速度计六位置标定能显著降低模长误差，平均误差由 10.401 mg 降至 0.021 mg；陀螺仪 1 h 静态记录达到 200.000 Hz 平均采样率，并得到 gz 轴 ARW 和 BI 指标；互补滤波在水平静止段具有较好的 roll/pitch 稳定性，但动态晃动后仍存在小幅残余偏置。GNSS 扩展数据说明 UART-NMEA 解析链路可复用，但普通单点定位精度不足以作为高精度姿态参考。</w:t>
      </w:r>
    </w:p>
    <w:p w14:paraId="227995C3">
      <w:pPr>
        <w:pStyle w:val="4"/>
      </w:pPr>
      <w:r>
        <w:rPr>
          <w:rFonts w:ascii="Times New Roman" w:hAnsi="Times New Roman" w:eastAsia="黑体"/>
          <w:b/>
          <w:sz w:val="24"/>
        </w:rPr>
        <w:t>7.2 不足与改进方向</w:t>
      </w:r>
    </w:p>
    <w:p w14:paraId="38269C34">
      <w:pPr>
        <w:spacing w:before="0" w:after="0" w:line="400" w:lineRule="exact"/>
      </w:pPr>
      <w:r>
        <w:rPr>
          <w:rFonts w:ascii="Times New Roman" w:hAnsi="Times New Roman" w:eastAsia="宋体"/>
          <w:b w:val="0"/>
          <w:sz w:val="24"/>
        </w:rP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角精度会受到周围铁磁物体和电流走线影响，终稿应补充完整椭球标定点云和航向角对比实验。第三，简化 ESKF 的噪声协方差参数需要结合 Allan 方差结果进行更系统的整定，并与互补滤波、Madgwick/Mahony 在同一数据集上比较。第四，1D-CNN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B012F6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11096</Words>
  <Characters>14358</Characters>
  <Lines>0</Lines>
  <Paragraphs>0</Paragraphs>
  <TotalTime>208</TotalTime>
  <ScaleCrop>false</ScaleCrop>
  <LinksUpToDate>false</LinksUpToDate>
  <CharactersWithSpaces>15391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2026-06-13T12:19:05Z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