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MPU6050/MPU6500 兼容六轴惯性测量单元、HMC5883L 三轴磁力计以及 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方差分析方法，并已实现互补滤波与 Mahony PI 姿态融合；Madgwick 滤波和简化误差状态卡尔曼滤波作为后续补充实验保留占位。为进一步提升传感器信号质量，本文还设计了基于 1D-CNN 的 IMU 噪声去除方法，并与传统滤波方法进行对比。实验部分将围绕 PCB 实物调试、传感器标定效果、姿态估计精度、系统更新频率、功耗和成本等指标展开验证。目前已完成的实测结果包括：加速度计六位置标定、磁力计椭球标定、陀螺仪 Allan 方差分析、互补滤波与 Mahony PI 姿态融合、1D-CNN IMU 去噪、BMP280 气压计测试、系统频率测试和 Web 实时姿态显示。文中涉及 GPS/GNSS、Madgwick、简化 ESKF（待补） 等结果的旧数据暂作为占位保留，后续完成对应实验后再统一替换为最终实测值。结果表明，该平台已具备传感器采集、标定补偿、姿态融合、AI 去噪、BMP280 气压测试和实时可视化能力；GPS 户外轨迹、Madgwick、简化 ESKF（待补）、功耗和成本等内容将在后续实验中继续补齐。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第三，实现并对比多种姿态估计算法。本文已设计并验证互补滤波与 Mahony PI，实现对 roll、pitch、yaw 姿态角的实时估计；Madgwick 滤波和简化 ESKF（待补） 暂作为后续实验占位，完成后再加入同一评价体系进行对比。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MPU6050/MPU6500 兼容六轴 IMU、HMC5883L 和 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pPr/>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pPr/>
      <w: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与磁力计数据，并在电脑端离线运行两种姿态融合算法，以比较静态稳定性、动态响应和计算更新频率。</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两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Mahony PI 滤波（Madgwick 待补）和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Mahony PI 滤波（Madgwick 待补）器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ESKF（待补）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ESKF（待补）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ESKF（待补）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pPr>
        <w:pStyle w:val="4"/>
      </w:pPr>
      <w:r>
        <w:t>6.1.1 新版 PCB 硬件可用性复测</w:t>
      </w:r>
    </w:p>
    <w:p>
      <w:r>
        <w:t>为保证最终提交硬件与实验数据之间的口径一致性，本文在更换新版 PCB 后重新进行了硬件冒烟测试。新版 PCB 与前一版相比主要调整了板子尺寸和模块空间位置，核心传感器型号、ESP32 引脚连接、I2C/UART 通信方式和采样程序保持一致。因此，前期完成的 IMU 静态噪声、六位置标定、磁力计椭球标定、陀螺仪 Allan 方差、姿态融合与 AI 去噪实验数据仍可作为同一系统方案的算法验证依据。同时，新版 PCB 需要通过独立冒烟测试证明最终硬件本身可正常读取各模块数据。</w:t>
      </w:r>
    </w:p>
    <w:p>
      <w:r>
        <w:t>2026 年 6 月 29 日，ESP32 通过 COM4 连接电脑，分别运行 I2C 传感器冒烟测试和 GPS UART 冒烟测试。I2C 扫描结果为 0x1E、0x68、0x76，分别对应 HMC5883L 磁力计、MPU6050/MPU6500 兼容 IMU 和 BMP280 气压计。IMU 的 WHO_AM_I 返回 0x70，符合 MPU6500/兼容器件特征；BMP280 芯片 ID 返回 0x58。实时数据中加速度、陀螺仪、温度和磁力计读数稳定输出，说明 I2C 总线和三类传感器均可用。</w:t>
      </w:r>
    </w:p>
    <w:p>
      <w:r>
        <w:t>GPS 冒烟测试采用 UART2，RX=GPIO16，TX=GPIO17，波特率 9600。60 s 测试期间共接收 481 条 NMEA 语句，其中有效定位计数 121 次；GGA 语句显示 fix quality=1、卫星数 09、HDOP=1.28、海拔约 27.1 m。该结果说明新版 PCB 的 GPS 供电、串口连接和定位功能均正常，可支撑后续 GPS 轨迹叠加与 GPS/IMU 融合实验。</w:t>
      </w:r>
    </w:p>
    <w:tbl>
      <w:tblPr>
        <w:tblStyle w:val="33"/>
        <w:tblW w:type="auto" w:w="0"/>
        <w:tblLook w:firstColumn="1" w:firstRow="1" w:lastColumn="0" w:lastRow="0" w:noHBand="0" w:noVBand="1" w:val="04A0"/>
      </w:tblPr>
      <w:tblGrid>
        <w:gridCol w:w="2911"/>
        <w:gridCol w:w="2911"/>
        <w:gridCol w:w="2911"/>
      </w:tblGrid>
      <w:tr>
        <w:tc>
          <w:tcPr>
            <w:tcW w:type="dxa" w:w="2911"/>
          </w:tcPr>
          <w:p>
            <w:r>
              <w:t>测试项</w:t>
            </w:r>
          </w:p>
        </w:tc>
        <w:tc>
          <w:tcPr>
            <w:tcW w:type="dxa" w:w="2911"/>
          </w:tcPr>
          <w:p>
            <w:r>
              <w:t>实测结果</w:t>
            </w:r>
          </w:p>
        </w:tc>
        <w:tc>
          <w:tcPr>
            <w:tcW w:type="dxa" w:w="2911"/>
          </w:tcPr>
          <w:p>
            <w:r>
              <w:t>结论</w:t>
            </w:r>
          </w:p>
        </w:tc>
      </w:tr>
      <w:tr>
        <w:tc>
          <w:tcPr>
            <w:tcW w:type="dxa" w:w="2911"/>
          </w:tcPr>
          <w:p>
            <w:r>
              <w:t>I2C 地址扫描</w:t>
            </w:r>
          </w:p>
        </w:tc>
        <w:tc>
          <w:tcPr>
            <w:tcW w:type="dxa" w:w="2911"/>
          </w:tcPr>
          <w:p>
            <w:r>
              <w:t>0x1E, 0x68, 0x76</w:t>
            </w:r>
          </w:p>
        </w:tc>
        <w:tc>
          <w:tcPr>
            <w:tcW w:type="dxa" w:w="2911"/>
          </w:tcPr>
          <w:p>
            <w:r>
              <w:t>HMC5883L、IMU、BMP280 均在线</w:t>
            </w:r>
          </w:p>
        </w:tc>
      </w:tr>
      <w:tr>
        <w:tc>
          <w:tcPr>
            <w:tcW w:type="dxa" w:w="2911"/>
          </w:tcPr>
          <w:p>
            <w:r>
              <w:t>IMU 标识</w:t>
            </w:r>
          </w:p>
        </w:tc>
        <w:tc>
          <w:tcPr>
            <w:tcW w:type="dxa" w:w="2911"/>
          </w:tcPr>
          <w:p>
            <w:r>
              <w:t>WHO_AM_I = 0x70</w:t>
            </w:r>
          </w:p>
        </w:tc>
        <w:tc>
          <w:tcPr>
            <w:tcW w:type="dxa" w:w="2911"/>
          </w:tcPr>
          <w:p>
            <w:r>
              <w:t>MPU6050/MPU6500 兼容 IMU 可读取</w:t>
            </w:r>
          </w:p>
        </w:tc>
      </w:tr>
      <w:tr>
        <w:tc>
          <w:tcPr>
            <w:tcW w:type="dxa" w:w="2911"/>
          </w:tcPr>
          <w:p>
            <w:r>
              <w:t>BMP280 标识</w:t>
            </w:r>
          </w:p>
        </w:tc>
        <w:tc>
          <w:tcPr>
            <w:tcW w:type="dxa" w:w="2911"/>
          </w:tcPr>
          <w:p>
            <w:r>
              <w:t>chip ID = 0x58</w:t>
            </w:r>
          </w:p>
        </w:tc>
        <w:tc>
          <w:tcPr>
            <w:tcW w:type="dxa" w:w="2911"/>
          </w:tcPr>
          <w:p>
            <w:r>
              <w:t>BMP280 可读取</w:t>
            </w:r>
          </w:p>
        </w:tc>
      </w:tr>
      <w:tr>
        <w:tc>
          <w:tcPr>
            <w:tcW w:type="dxa" w:w="2911"/>
          </w:tcPr>
          <w:p>
            <w:r>
              <w:t>I2C 实时样本</w:t>
            </w:r>
          </w:p>
        </w:tc>
        <w:tc>
          <w:tcPr>
            <w:tcW w:type="dxa" w:w="2911"/>
          </w:tcPr>
          <w:p>
            <w:r>
              <w:t>20 组 ACC/GYRO/TEMP/MAG</w:t>
            </w:r>
          </w:p>
        </w:tc>
        <w:tc>
          <w:tcPr>
            <w:tcW w:type="dxa" w:w="2911"/>
          </w:tcPr>
          <w:p>
            <w:r>
              <w:t>动态数据输出正常</w:t>
            </w:r>
          </w:p>
        </w:tc>
      </w:tr>
      <w:tr>
        <w:tc>
          <w:tcPr>
            <w:tcW w:type="dxa" w:w="2911"/>
          </w:tcPr>
          <w:p>
            <w:r>
              <w:t>GPS UART</w:t>
            </w:r>
          </w:p>
        </w:tc>
        <w:tc>
          <w:tcPr>
            <w:tcW w:type="dxa" w:w="2911"/>
          </w:tcPr>
          <w:p>
            <w:r>
              <w:t>NMEA = 481, fix = 121</w:t>
            </w:r>
          </w:p>
        </w:tc>
        <w:tc>
          <w:tcPr>
            <w:tcW w:type="dxa" w:w="2911"/>
          </w:tcPr>
          <w:p>
            <w:r>
              <w:t>GPS 串口与定位正常</w:t>
            </w:r>
          </w:p>
        </w:tc>
      </w:tr>
      <w:tr>
        <w:tc>
          <w:tcPr>
            <w:tcW w:type="dxa" w:w="2911"/>
          </w:tcPr>
          <w:p>
            <w:r>
              <w:t>GPS 定位质量</w:t>
            </w:r>
          </w:p>
        </w:tc>
        <w:tc>
          <w:tcPr>
            <w:tcW w:type="dxa" w:w="2911"/>
          </w:tcPr>
          <w:p>
            <w:r>
              <w:t>fix quality=1, satellites=09, HDOP=1.28</w:t>
            </w:r>
          </w:p>
        </w:tc>
        <w:tc>
          <w:tcPr>
            <w:tcW w:type="dxa" w:w="2911"/>
          </w:tcPr>
          <w:p>
            <w:r>
              <w:t>具备轨迹实验条件</w:t>
            </w:r>
          </w:p>
        </w:tc>
      </w:tr>
    </w:tbl>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pPr/>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pPr/>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项目</w:t>
            </w:r>
          </w:p>
        </w:tc>
        <w:tc>
          <w:tcPr>
            <w:tcW w:type="dxa" w:w="2340"/>
          </w:tcPr>
          <w:p>
            <w:r>
              <w:t>结果</w:t>
            </w:r>
          </w:p>
        </w:tc>
        <w:tc>
          <w:tcPr>
            <w:tcW w:type="dxa" w:w="2340"/>
          </w:tcPr>
          <w:p>
            <w:r>
              <w:t>单位</w:t>
            </w:r>
          </w:p>
        </w:tc>
        <w:tc>
          <w:tcPr>
            <w:tcW w:type="dxa" w:w="2340"/>
          </w:tcPr>
          <w:p>
            <w:r>
              <w:t>说明</w:t>
            </w:r>
          </w:p>
        </w:tc>
      </w:tr>
      <w:tr>
        <w:tc>
          <w:tcPr>
            <w:tcW w:type="dxa" w:w="2340"/>
          </w:tcPr>
          <w:p>
            <w:r>
              <w:t>芯片 ID</w:t>
            </w:r>
          </w:p>
        </w:tc>
        <w:tc>
          <w:tcPr>
            <w:tcW w:type="dxa" w:w="2340"/>
          </w:tcPr>
          <w:p>
            <w:r>
              <w:t>0x58</w:t>
            </w:r>
          </w:p>
        </w:tc>
        <w:tc>
          <w:tcPr>
            <w:tcW w:type="dxa" w:w="2340"/>
          </w:tcPr>
          <w:p>
            <w:r>
              <w:t>-</w:t>
            </w:r>
          </w:p>
        </w:tc>
        <w:tc>
          <w:tcPr>
            <w:tcW w:type="dxa" w:w="2340"/>
          </w:tcPr>
          <w:p>
            <w:r>
              <w:t>BMP280 常见 ID 为 0x58</w:t>
            </w:r>
          </w:p>
        </w:tc>
      </w:tr>
      <w:tr>
        <w:tc>
          <w:tcPr>
            <w:tcW w:type="dxa" w:w="2340"/>
          </w:tcPr>
          <w:p>
            <w:r>
              <w:t>静止样本数</w:t>
            </w:r>
          </w:p>
        </w:tc>
        <w:tc>
          <w:tcPr>
            <w:tcW w:type="dxa" w:w="2340"/>
          </w:tcPr>
          <w:p>
            <w:r>
              <w:t>1500</w:t>
            </w:r>
          </w:p>
        </w:tc>
        <w:tc>
          <w:tcPr>
            <w:tcW w:type="dxa" w:w="2340"/>
          </w:tcPr>
          <w:p>
            <w:r>
              <w:t>rows</w:t>
            </w:r>
          </w:p>
        </w:tc>
        <w:tc>
          <w:tcPr>
            <w:tcW w:type="dxa" w:w="2340"/>
          </w:tcPr>
          <w:p>
            <w:r>
              <w:t>5 Hz 静止采集</w:t>
            </w:r>
          </w:p>
        </w:tc>
      </w:tr>
      <w:tr>
        <w:tc>
          <w:tcPr>
            <w:tcW w:type="dxa" w:w="2340"/>
          </w:tcPr>
          <w:p>
            <w:r>
              <w:t>静止气压标准差</w:t>
            </w:r>
          </w:p>
        </w:tc>
        <w:tc>
          <w:tcPr>
            <w:tcW w:type="dxa" w:w="2340"/>
          </w:tcPr>
          <w:p>
            <w:r>
              <w:t>2.072</w:t>
            </w:r>
          </w:p>
        </w:tc>
        <w:tc>
          <w:tcPr>
            <w:tcW w:type="dxa" w:w="2340"/>
          </w:tcPr>
          <w:p>
            <w:r>
              <w:t>Pa</w:t>
            </w:r>
          </w:p>
        </w:tc>
        <w:tc>
          <w:tcPr>
            <w:tcW w:type="dxa" w:w="2340"/>
          </w:tcPr>
          <w:p>
            <w:r>
              <w:t>越小越稳定</w:t>
            </w:r>
          </w:p>
        </w:tc>
      </w:tr>
      <w:tr>
        <w:tc>
          <w:tcPr>
            <w:tcW w:type="dxa" w:w="2340"/>
          </w:tcPr>
          <w:p>
            <w:r>
              <w:t>静止温度标准差</w:t>
            </w:r>
          </w:p>
        </w:tc>
        <w:tc>
          <w:tcPr>
            <w:tcW w:type="dxa" w:w="2340"/>
          </w:tcPr>
          <w:p>
            <w:r>
              <w:t>0.098</w:t>
            </w:r>
          </w:p>
        </w:tc>
        <w:tc>
          <w:tcPr>
            <w:tcW w:type="dxa" w:w="2340"/>
          </w:tcPr>
          <w:p>
            <w:r>
              <w:t>°C</w:t>
            </w:r>
          </w:p>
        </w:tc>
        <w:tc>
          <w:tcPr>
            <w:tcW w:type="dxa" w:w="2340"/>
          </w:tcPr>
          <w:p>
            <w:r>
              <w:t>温度波动</w:t>
            </w:r>
          </w:p>
        </w:tc>
      </w:tr>
      <w:tr>
        <w:tc>
          <w:tcPr>
            <w:tcW w:type="dxa" w:w="2340"/>
          </w:tcPr>
          <w:p>
            <w:r>
              <w:t>静止相对高度标准差</w:t>
            </w:r>
          </w:p>
        </w:tc>
        <w:tc>
          <w:tcPr>
            <w:tcW w:type="dxa" w:w="2340"/>
          </w:tcPr>
          <w:p>
            <w:r>
              <w:t>0.174</w:t>
            </w:r>
          </w:p>
        </w:tc>
        <w:tc>
          <w:tcPr>
            <w:tcW w:type="dxa" w:w="2340"/>
          </w:tcPr>
          <w:p>
            <w:r>
              <w:t>m</w:t>
            </w:r>
          </w:p>
        </w:tc>
        <w:tc>
          <w:tcPr>
            <w:tcW w:type="dxa" w:w="2340"/>
          </w:tcPr>
          <w:p>
            <w:r>
              <w:t>由气压换算</w:t>
            </w:r>
          </w:p>
        </w:tc>
      </w:tr>
      <w:tr>
        <w:tc>
          <w:tcPr>
            <w:tcW w:type="dxa" w:w="2340"/>
          </w:tcPr>
          <w:p>
            <w:r>
              <w:t>高度变化样本数</w:t>
            </w:r>
          </w:p>
        </w:tc>
        <w:tc>
          <w:tcPr>
            <w:tcW w:type="dxa" w:w="2340"/>
          </w:tcPr>
          <w:p>
            <w:r>
              <w:t>900</w:t>
            </w:r>
          </w:p>
        </w:tc>
        <w:tc>
          <w:tcPr>
            <w:tcW w:type="dxa" w:w="2340"/>
          </w:tcPr>
          <w:p>
            <w:r>
              <w:t>rows</w:t>
            </w:r>
          </w:p>
        </w:tc>
        <w:tc>
          <w:tcPr>
            <w:tcW w:type="dxa" w:w="2340"/>
          </w:tcPr>
          <w:p>
            <w:r>
              <w:t>高度变化采集</w:t>
            </w:r>
          </w:p>
        </w:tc>
      </w:tr>
      <w:tr>
        <w:tc>
          <w:tcPr>
            <w:tcW w:type="dxa" w:w="2340"/>
          </w:tcPr>
          <w:p>
            <w:r>
              <w:t>相对高度变化范围</w:t>
            </w:r>
          </w:p>
        </w:tc>
        <w:tc>
          <w:tcPr>
            <w:tcW w:type="dxa" w:w="2340"/>
          </w:tcPr>
          <w:p>
            <w:r>
              <w:t>1.390</w:t>
            </w:r>
          </w:p>
        </w:tc>
        <w:tc>
          <w:tcPr>
            <w:tcW w:type="dxa" w:w="2340"/>
          </w:tcPr>
          <w:p>
            <w:r>
              <w:t>m</w:t>
            </w:r>
          </w:p>
        </w:tc>
        <w:tc>
          <w:tcPr>
            <w:tcW w:type="dxa" w:w="2340"/>
          </w:tcPr>
          <w:p>
            <w:r>
              <w:t>高度响应幅度</w:t>
            </w:r>
          </w:p>
        </w:tc>
      </w:tr>
      <w:tr>
        <w:tc>
          <w:tcPr>
            <w:tcW w:type="dxa" w:w="2340"/>
          </w:tcPr>
          <w:p>
            <w:r>
              <w:t>气压变化范围</w:t>
            </w:r>
          </w:p>
        </w:tc>
        <w:tc>
          <w:tcPr>
            <w:tcW w:type="dxa" w:w="2340"/>
          </w:tcPr>
          <w:p>
            <w:r>
              <w:t>16.578</w:t>
            </w:r>
          </w:p>
        </w:tc>
        <w:tc>
          <w:tcPr>
            <w:tcW w:type="dxa" w:w="2340"/>
          </w:tcPr>
          <w:p>
            <w:r>
              <w:t>Pa</w:t>
            </w:r>
          </w:p>
        </w:tc>
        <w:tc>
          <w:tcPr>
            <w:tcW w:type="dxa" w:w="2340"/>
          </w:tcPr>
          <w:p>
            <w:r>
              <w:t>与高度变化对应</w:t>
            </w:r>
          </w:p>
        </w:tc>
      </w:tr>
    </w:tbl>
    <w:p/>
    <w:p>
      <w:pPr/>
      <w:r>
        <w:t>图：BMP280 静止状态下气压、温度与相对高度噪声曲线（对应文件 bmp280_static_pressure_temp.png）</w:t>
      </w:r>
    </w:p>
    <w:p>
      <w:pPr/>
      <w:r>
        <w:t>图：BMP280 高度变化实验中的气压与相对高度响应曲线（对应文件 bmp280_height_change.png）</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达成情况。对于功耗、单板成本、磁力计完整标定和GPS 户外轨迹、功耗和单板成本当前尚缺最终实测记录；磁力计椭球标定、BMP280 气压/高度变化测试、AI 去噪和实时姿态显示已完成阶段性实测。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pPr>
        <w:jc w:val="center"/>
      </w:pPr>
      <w:r>
        <w:drawing>
          <wp:inline xmlns:a="http://schemas.openxmlformats.org/drawingml/2006/main" xmlns:pic="http://schemas.openxmlformats.org/drawingml/2006/picture">
            <wp:extent cx="5303520" cy="3159010"/>
            <wp:docPr id="12" name="Picture 12"/>
            <wp:cNvGraphicFramePr>
              <a:graphicFrameLocks noChangeAspect="1"/>
            </wp:cNvGraphicFramePr>
            <a:graphic>
              <a:graphicData uri="http://schemas.openxmlformats.org/drawingml/2006/picture">
                <pic:pic>
                  <pic:nvPicPr>
                    <pic:cNvPr id="0" name="MahonyPI_web.png"/>
                    <pic:cNvPicPr/>
                  </pic:nvPicPr>
                  <pic:blipFill>
                    <a:blip r:embed="rId21"/>
                    <a:stretch>
                      <a:fillRect/>
                    </a:stretch>
                  </pic:blipFill>
                  <pic:spPr>
                    <a:xfrm>
                      <a:off x="0" y="0"/>
                      <a:ext cx="5303520" cy="3159010"/>
                    </a:xfrm>
                    <a:prstGeom prst="rect"/>
                  </pic:spPr>
                </pic:pic>
              </a:graphicData>
            </a:graphic>
          </wp:inline>
        </w:drawing>
      </w:r>
    </w:p>
    <w:p>
      <w:pPr>
        <w:jc w:val="center"/>
      </w:pPr>
      <w:r>
        <w:rPr>
          <w:sz w:val="18"/>
        </w:rPr>
        <w:t>图：Mahony PI 实时姿态显示 Web 3D 姿态板运行结果</w:t>
      </w:r>
    </w:p>
    <w:p>
      <w:pPr/>
      <w:r>
        <w:t>图中 Web 面板显示 roll、pitch、yaw、温度和更新频率，并以 3D 板卡模型实时反映姿态变化。该实验补充验证了姿态融合算法不仅能离线分析，也能够部署到 ESP32 端实时运行并完成网页可视化展示。</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姿态融合实验完成了互补滤波与 Mahony PI 两种算法对比。实验数据覆盖水平静止、固定倾斜、晃动后回水平和连续手动倾斜四类状态。结果表明，互补滤波结构简单、更新频率最高，适合资源受限场景；Mahony PI 在引入比例-积分误差反馈后，静态姿态角抖动更小，水平静止状态下 roll/pitch 标准差由互补滤波的 1.967°/0.931° 降至 0.986°/0.394°。不过 yaw 角仍明显受磁力计环境扰动影响，因此后续若继续优化，应重点改善磁力计安装位置、磁场标定和航向角异常值抑制。</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ESKF（待补）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pPr/>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ESKF（待补）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p>
      <w:r>
        <w:t>综上，新版 PCB 已完成最终硬件冒烟验证。由于新旧 PCB 的核心模块、接口定义和采样程序保持一致，本文沿用前期标定与融合数据作为算法性能分析来源，并使用新版 PCB 的 I2C/GPS 冒烟测试结果证明最终硬件平台具备可实验性。</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