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para sistemas de información</w:t>
      </w:r>
      <w:r>
        <w:t xml:space="preserve"> </w:t>
      </w:r>
      <w:r>
        <w:t xml:space="preserve">geográfica (SIG) y para la Web. Se muestra cómo las metodologías y</w:t>
      </w:r>
      <w:r>
        <w:t xml:space="preserve"> </w:t>
      </w:r>
      <w:r>
        <w:t xml:space="preserve">técnicas de ciencia de datos pueden aplicarse al componente geoespacial</w:t>
      </w:r>
      <w:r>
        <w:t xml:space="preserve"> </w:t>
      </w:r>
      <w:r>
        <w:t xml:space="preserve">de diversos problemas. Además,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2026-08-04T22:30:22Z</dcterms:created>
  <dcterms:modified xsi:type="dcterms:W3CDTF">2026-08-04T22:30:22Z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