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 estudiante</w:t>
      </w:r>
      <w:r>
        <w:t xml:space="preserve"> </w:t>
      </w:r>
      <w:r>
        <w:t xml:space="preserve">elige un tema basado en datos geoespaciales, el cual desarrolla a lo</w:t>
      </w:r>
      <w:r>
        <w:t xml:space="preserve"> </w:t>
      </w:r>
      <w:r>
        <w:t xml:space="preserve">largo del ciclo mediante las tareas, que funcionan como aproximaciones</w:t>
      </w:r>
      <w:r>
        <w:t xml:space="preserve"> </w:t>
      </w:r>
      <w:r>
        <w:t xml:space="preserve">incrementales al proyecto final. Las pautas y rúbricas específicas de</w:t>
      </w:r>
      <w:r>
        <w:t xml:space="preserve"> </w:t>
      </w:r>
      <w:r>
        <w:t xml:space="preserve">cada evaluación se entregarán al estudiantado al menos ocho días</w:t>
      </w:r>
      <w:r>
        <w:t xml:space="preserve"> </w:t>
      </w:r>
      <w:r>
        <w:t xml:space="preserve">naturales antes de su 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2026-08-04T23:27:17Z</dcterms:created>
  <dcterms:modified xsi:type="dcterms:W3CDTF">2026-08-04T23:27:17Z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