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Rcsostblza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6044"/>
      </w:tblGrid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neve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Subject title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 xml:space="preserve">Lineáris algebra 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kódja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Subject Code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Tantárgyfelelős neve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Instructor in charge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>Dr. Tóth László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>Tantárgy típusa /</w:t>
            </w:r>
            <w:r>
              <w:rPr>
                <w:rFonts w:eastAsia="Calibri" w:cs="Calibri" w:cstheme="minorHAnsi"/>
                <w:b/>
                <w:bCs/>
                <w:color w:val="000000"/>
                <w:kern w:val="0"/>
                <w:sz w:val="24"/>
                <w:szCs w:val="24"/>
                <w:lang w:val="hu-HU" w:eastAsia="en-US" w:bidi="ar-SA"/>
              </w:rPr>
              <w:t xml:space="preserve"> Subject type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>előadás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>Tantárgy féléves óraszáma /</w:t>
            </w:r>
            <w:r>
              <w:rPr>
                <w:rFonts w:eastAsia="Calibri" w:cs="Calibri" w:cstheme="minorHAnsi"/>
                <w:b/>
                <w:bCs/>
                <w:color w:val="000000"/>
                <w:kern w:val="0"/>
                <w:sz w:val="24"/>
                <w:szCs w:val="24"/>
                <w:lang w:val="hu-H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GB" w:eastAsia="en-US" w:bidi="ar-SA"/>
              </w:rPr>
              <w:t>Total of contact hours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>heti 2 óra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kreditértéke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Number of credits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 (ECTS)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leírása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Subject description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 xml:space="preserve">A tárgy célja, hogy a hallgatók megismerkedjenek a lineáris algebra alapvető fogalmaival és néhány alkalmazásával. 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Oktatás célja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/ </w:t>
            </w:r>
            <w:r>
              <w:rPr>
                <w:rFonts w:eastAsia="Calibri" w:cs="Calibri" w:cstheme="minorHAnsi"/>
                <w:b/>
                <w:bCs/>
                <w:i/>
                <w:iCs/>
                <w:color w:val="222222"/>
                <w:kern w:val="0"/>
                <w:sz w:val="24"/>
                <w:szCs w:val="24"/>
                <w:shd w:fill="FFFFFF" w:val="clear"/>
                <w:lang w:val="hu-HU" w:eastAsia="en-US" w:bidi="ar-SA"/>
              </w:rPr>
              <w:t>Goal of instruction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Cs w:val="20"/>
              </w:rPr>
            </w:pPr>
            <w:r>
              <w:rPr>
                <w:rFonts w:eastAsia="Calibri" w:cs=""/>
                <w:bCs/>
                <w:kern w:val="0"/>
                <w:sz w:val="24"/>
                <w:szCs w:val="20"/>
                <w:lang w:val="hu-HU" w:eastAsia="en-US" w:bidi="ar-SA"/>
              </w:rPr>
              <w:t xml:space="preserve">A kurzust sikeresen teljesítő hallgatók: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Cs/>
                <w:szCs w:val="20"/>
              </w:rPr>
            </w:pPr>
            <w:r>
              <w:rPr>
                <w:rFonts w:eastAsia="Calibri" w:cs=""/>
                <w:bCs/>
                <w:i/>
                <w:kern w:val="0"/>
                <w:sz w:val="24"/>
                <w:szCs w:val="20"/>
                <w:lang w:val="hu-HU" w:eastAsia="en-US" w:bidi="ar-SA"/>
              </w:rPr>
              <w:t>ismerik</w:t>
            </w:r>
            <w:r>
              <w:rPr>
                <w:rFonts w:eastAsia="Calibri" w:cs=""/>
                <w:bCs/>
                <w:kern w:val="0"/>
                <w:sz w:val="24"/>
                <w:szCs w:val="20"/>
                <w:lang w:val="hu-HU" w:eastAsia="en-US" w:bidi="ar-SA"/>
              </w:rPr>
              <w:t xml:space="preserve"> az alapvető fogalmakat és tételeket, </w:t>
            </w:r>
            <w:r>
              <w:rPr>
                <w:rFonts w:eastAsia="Calibri" w:cs=""/>
                <w:bCs/>
                <w:i/>
                <w:kern w:val="0"/>
                <w:sz w:val="24"/>
                <w:szCs w:val="20"/>
                <w:lang w:val="hu-HU" w:eastAsia="en-US" w:bidi="ar-SA"/>
              </w:rPr>
              <w:t>rendelkeznek</w:t>
            </w:r>
            <w:r>
              <w:rPr>
                <w:rFonts w:eastAsia="Calibri" w:cs=""/>
                <w:bCs/>
                <w:kern w:val="0"/>
                <w:sz w:val="24"/>
                <w:szCs w:val="20"/>
                <w:lang w:val="hu-HU" w:eastAsia="en-US" w:bidi="ar-SA"/>
              </w:rPr>
              <w:t xml:space="preserve"> alapvető szakszókinccsel a témakörben;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Cs/>
                <w:szCs w:val="20"/>
              </w:rPr>
            </w:pPr>
            <w:r>
              <w:rPr>
                <w:rFonts w:eastAsia="Calibri" w:cs=""/>
                <w:bCs/>
                <w:i/>
                <w:kern w:val="0"/>
                <w:sz w:val="24"/>
                <w:szCs w:val="20"/>
                <w:lang w:val="hu-HU" w:eastAsia="en-US" w:bidi="ar-SA"/>
              </w:rPr>
              <w:t xml:space="preserve">képesek </w:t>
            </w:r>
            <w:r>
              <w:rPr>
                <w:rFonts w:eastAsia="Calibri" w:cs=""/>
                <w:bCs/>
                <w:kern w:val="0"/>
                <w:sz w:val="24"/>
                <w:szCs w:val="20"/>
                <w:lang w:val="hu-HU" w:eastAsia="en-US" w:bidi="ar-SA"/>
              </w:rPr>
              <w:t>az alapvető vonatkozó lineáris algebrai tulajdonságok alkalmazására;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Cs/>
                <w:iCs/>
              </w:rPr>
            </w:pPr>
            <w:r>
              <w:rPr>
                <w:rFonts w:eastAsia="Calibri" w:cs=""/>
                <w:bCs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törekszenek </w:t>
            </w:r>
            <w:r>
              <w:rPr>
                <w:rFonts w:eastAsia="Calibri" w:cs=""/>
                <w:bCs/>
                <w:iCs/>
                <w:kern w:val="0"/>
                <w:sz w:val="24"/>
                <w:szCs w:val="24"/>
                <w:lang w:val="hu-HU" w:eastAsia="en-US" w:bidi="ar-SA"/>
              </w:rPr>
              <w:t>az új matematikai fogalmak és tételek megértésére és elsajátítása;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/>
                <w:bCs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képesek önállóan </w:t>
            </w:r>
            <w:r>
              <w:rPr>
                <w:rFonts w:eastAsia="Calibri"/>
                <w:bCs/>
                <w:iCs/>
                <w:kern w:val="0"/>
                <w:sz w:val="24"/>
                <w:szCs w:val="24"/>
                <w:lang w:val="hu-HU" w:eastAsia="en-US" w:bidi="ar-SA"/>
              </w:rPr>
              <w:t>értelmezni és megoldani a feladatokat.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tartalma / </w:t>
            </w:r>
            <w:r>
              <w:rPr>
                <w:rFonts w:eastAsia="Calibri" w:cs="Calibri" w:cstheme="minorHAnsi"/>
                <w:b/>
                <w:bCs/>
                <w:i/>
                <w:iCs/>
                <w:color w:val="222222"/>
                <w:kern w:val="0"/>
                <w:sz w:val="24"/>
                <w:szCs w:val="24"/>
                <w:shd w:fill="FFFFFF" w:val="clear"/>
                <w:lang w:val="hu-HU" w:eastAsia="en-US" w:bidi="ar-SA"/>
              </w:rPr>
              <w:t>Subject content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1.hét: Mátrixok, műveletek mátrixokkal.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2. hét: Permutációk, inverziószám. A determináns fogalma, elemi tulajdonságok.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3. hét: Determinánsok kiszámítása elemi sorműveletekkel és a kifejtési tétellel. Mátrixok inverze.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4. hét: Lineáris egyenletrendszerek, megoldási módszerek: Cramer-szabály, Gauss-elimináció.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5. hét: A mátrixok algebrája, rang.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6. hét: Vektorterek, példák. Alterek. Lineáris függőség és függetlenség.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7. hét: Generátorrendszer. Bázis. Dimenzió.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8. hét: Alterek összege és direkt összege. Faktortér.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9. hét: Lineáris transzformációk, mátrixuk, tulajdonságok.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10. hét: Képtér. Magtér. Dimenziótétel.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11. hét: Belsőszorzat terek. Gram-Schmidt ortogonalizációs eljárás.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12. hét: Sajátérték, sajátvektor, karakterisztikus polinom.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13. hét: Hasonló mátrixok. Sajátértékek alkalmazásai. Lineáris algebra alkalmazásai a geometriában, kriptográfiában és gráfelméletben (kitekintés).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Számonkérési és értékelési rendszere / </w:t>
            </w:r>
            <w:r>
              <w:rPr>
                <w:rFonts w:eastAsia="Calibri" w:cs="Calibri" w:cstheme="minorHAnsi"/>
                <w:b/>
                <w:bCs/>
                <w:i/>
                <w:iCs/>
                <w:color w:val="222222"/>
                <w:kern w:val="0"/>
                <w:sz w:val="24"/>
                <w:szCs w:val="24"/>
                <w:shd w:fill="FFFFFF" w:val="clear"/>
                <w:lang w:val="hu-HU" w:eastAsia="en-US" w:bidi="ar-SA"/>
              </w:rPr>
              <w:t>Examination and evaluation system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Szóbeli vizsga beugróval.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A beugró értékelése:</w:t>
            </w:r>
          </w:p>
          <w:tbl>
            <w:tblPr>
              <w:tblW w:w="58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2240"/>
              <w:gridCol w:w="3587"/>
            </w:tblGrid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/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Elégtelen</w:t>
                  </w:r>
                </w:p>
              </w:tc>
            </w:tr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/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és </w:t>
                  </w:r>
                  <w:r>
                    <w:rPr/>
                  </w:r>
                  <m:oMath xmlns:m="http://schemas.openxmlformats.org/officeDocument/2006/math"/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Elégséges</w:t>
                  </w:r>
                </w:p>
              </w:tc>
            </w:tr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/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és </w:t>
                  </w:r>
                  <w:r>
                    <w:rPr/>
                  </w:r>
                  <m:oMath xmlns:m="http://schemas.openxmlformats.org/officeDocument/2006/math"/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Közepes</w:t>
                  </w:r>
                </w:p>
              </w:tc>
            </w:tr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80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</m:oMath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és </w:t>
                  </w:r>
                  <w:r>
                    <w:rPr/>
                  </w:r>
                  <m:oMath xmlns:m="http://schemas.openxmlformats.org/officeDocument/2006/math"/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Jó</w:t>
                  </w:r>
                </w:p>
              </w:tc>
            </w:tr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90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</m:oMath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Jeles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Sikeres beugró esetén két tételt kell húzni. A végső jegy a három jegy átlaga egészre kerekítve. Ha valamely tétel értékelése elégtelen akkor a végső jegy is elégtelen.  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Irodalom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Literature</w:t>
            </w:r>
          </w:p>
        </w:tc>
        <w:tc>
          <w:tcPr>
            <w:tcW w:w="604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" w:hanging="0"/>
              <w:contextualSpacing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Gaál István, Kozma László: Lineáris algebra, egyetemi jegyzet, Debreceni Egyetem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" w:hanging="0"/>
              <w:contextualSpacing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Henry Ricardo: </w:t>
            </w:r>
            <w:r>
              <w:rPr>
                <w:rFonts w:eastAsia="Calibri"/>
                <w:kern w:val="0"/>
                <w:sz w:val="24"/>
                <w:szCs w:val="24"/>
                <w:lang w:val="hu-HU" w:eastAsia="en-US" w:bidi="ar-SA"/>
              </w:rPr>
              <w:t>A modern introduction to the linear algebra, Chapman &amp; Hill, 2019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before="0" w:after="0"/>
              <w:ind w:left="35" w:hanging="0"/>
              <w:jc w:val="left"/>
              <w:rPr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0"/>
                <w:lang w:val="hu-HU" w:eastAsia="en-US" w:bidi="ar-SA"/>
              </w:rPr>
              <w:t>F</w:t>
            </w:r>
            <w:r>
              <w:rPr>
                <w:rFonts w:eastAsia="Calibri" w:cs=""/>
                <w:kern w:val="0"/>
                <w:sz w:val="18"/>
                <w:szCs w:val="18"/>
                <w:lang w:val="hu-HU" w:eastAsia="en-US" w:bidi="ar-SA"/>
              </w:rPr>
              <w:t>REUD</w:t>
            </w:r>
            <w:r>
              <w:rPr>
                <w:rFonts w:eastAsia="Calibri" w:cs=""/>
                <w:kern w:val="0"/>
                <w:sz w:val="24"/>
                <w:szCs w:val="20"/>
                <w:lang w:val="hu-HU" w:eastAsia="en-US" w:bidi="ar-SA"/>
              </w:rPr>
              <w:t xml:space="preserve"> R. 2004: </w:t>
            </w:r>
            <w:r>
              <w:rPr>
                <w:rFonts w:eastAsia="Calibri" w:cs=""/>
                <w:i/>
                <w:kern w:val="0"/>
                <w:sz w:val="24"/>
                <w:szCs w:val="20"/>
                <w:lang w:val="hu-HU" w:eastAsia="en-US" w:bidi="ar-SA"/>
              </w:rPr>
              <w:t>Lineáris algebra</w:t>
            </w:r>
            <w:r>
              <w:rPr>
                <w:rFonts w:eastAsia="Calibri" w:cs=""/>
                <w:kern w:val="0"/>
                <w:sz w:val="24"/>
                <w:szCs w:val="20"/>
                <w:lang w:val="hu-HU" w:eastAsia="en-US" w:bidi="ar-SA"/>
              </w:rPr>
              <w:t>. ELTE Eötvös Kiadó, Budapest.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b/>
          <w:b/>
          <w:bCs/>
          <w:lang w:val="en-GB"/>
        </w:rPr>
      </w:pPr>
      <w:r>
        <w:rPr>
          <w:rFonts w:cs="Calibri" w:cstheme="minorHAnsi"/>
          <w:b/>
          <w:bCs/>
        </w:rPr>
        <w:t xml:space="preserve">Készítette / </w:t>
      </w:r>
      <w:r>
        <w:rPr>
          <w:rFonts w:cs="Calibri" w:cstheme="minorHAnsi"/>
          <w:b/>
          <w:bCs/>
          <w:lang w:val="en-GB"/>
        </w:rPr>
        <w:t>Prepared by</w:t>
      </w:r>
      <w:r>
        <w:rPr>
          <w:rFonts w:cs="Calibri" w:cstheme="minorHAnsi"/>
          <w:b/>
          <w:bCs/>
        </w:rPr>
        <w:tab/>
        <w:tab/>
        <w:tab/>
        <w:t xml:space="preserve">Tantárgyfelelős / </w:t>
      </w:r>
      <w:r>
        <w:rPr>
          <w:rFonts w:cs="Calibri" w:cstheme="minorHAnsi"/>
          <w:b/>
          <w:bCs/>
          <w:lang w:val="en-GB"/>
        </w:rPr>
        <w:t>I</w:t>
      </w:r>
      <w:r>
        <w:rPr>
          <w:b/>
          <w:bCs/>
          <w:lang w:val="en-GB"/>
        </w:rPr>
        <w:t>nstructor-in-charge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GB"/>
        </w:rPr>
        <w:t>Dr. Lucskai Gábor</w:t>
        <w:tab/>
        <w:tab/>
        <w:tab/>
        <w:tab/>
        <w:t>Dr. Tóth László</w:t>
      </w:r>
    </w:p>
    <w:p>
      <w:pPr>
        <w:pStyle w:val="Normal"/>
        <w:rPr>
          <w:rFonts w:cs="Calibri" w:cstheme="minorHAnsi"/>
          <w:b/>
          <w:b/>
          <w:bCs/>
          <w:lang w:val="en-GB"/>
        </w:rPr>
      </w:pPr>
      <w:r>
        <w:rPr>
          <w:rFonts w:cs="Calibri" w:cstheme="minorHAnsi"/>
          <w:b/>
          <w:bCs/>
        </w:rPr>
        <w:t xml:space="preserve">Jóváhagyta / </w:t>
      </w:r>
      <w:r>
        <w:rPr>
          <w:rFonts w:cs="Calibri" w:cstheme="minorHAnsi"/>
          <w:b/>
          <w:bCs/>
          <w:lang w:val="en-GB"/>
        </w:rPr>
        <w:t>Endorsed by</w:t>
      </w:r>
      <w:r>
        <w:rPr>
          <w:rFonts w:cs="Calibri" w:cstheme="minorHAnsi"/>
          <w:b/>
          <w:bCs/>
        </w:rPr>
        <w:tab/>
        <w:tab/>
        <w:tab/>
        <w:t xml:space="preserve">Szakfelelős / </w:t>
      </w:r>
      <w:r>
        <w:rPr>
          <w:rFonts w:cs="Calibri" w:cstheme="minorHAnsi"/>
          <w:b/>
          <w:bCs/>
          <w:lang w:val="en-GB"/>
        </w:rPr>
        <w:t>Head of the programme</w:t>
      </w:r>
    </w:p>
    <w:p>
      <w:pPr>
        <w:pStyle w:val="Normal"/>
        <w:rPr>
          <w:rFonts w:cs="Calibri" w:cstheme="minorHAnsi"/>
        </w:rPr>
      </w:pPr>
      <w:r>
        <w:rPr>
          <w:b/>
          <w:bCs/>
          <w:lang w:val="en-GB"/>
        </w:rPr>
        <w:t>Dr. Tóth László</w:t>
        <w:tab/>
        <w:tab/>
        <w:tab/>
        <w:tab/>
        <w:t>Dr. Tóth László</w:t>
      </w:r>
    </w:p>
    <w:p>
      <w:pPr>
        <w:pStyle w:val="Normal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35989"/>
    <w:pPr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d574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ec1c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340</Words>
  <Characters>2208</Characters>
  <CharactersWithSpaces>2514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2025-01-09T11:45:00Z</dcterms:created>
  <dc:creator>Dr. Fábián Szabolcs Ákos</dc:creator>
  <dc:description/>
  <dc:language>hu-HU</dc:language>
  <cp:lastModifiedBy>Dr. Tóth László</cp:lastModifiedBy>
  <dcterms:modified xsi:type="dcterms:W3CDTF">2025-01-09T11:45:00Z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