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despacho do Evento 25 e da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(CPC) e na Súmula 481 do Superior Tribunal de Justiça (STJ),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Entre as duas alternativas abertas pelo despacho, a apelante optou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 da guia constante do Evento 31 e coincidência com o Doc. 1], calculada pelo próprio sistema do Tribunal com base no Anexo Único da Lei estadual n. 17.654/2018, com os valores atualizados para o exercício de 2026. Tratando-se de autos eletrônicos, não há porte de remessa e retorno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Caso, por qualquer razão, se entenda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assinado por Vossa Excelência,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 (CPC, art. 200), sem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de que a apelante já desistiu expressamente (item 8),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exibia tarjados — isto é, indisponíveis para emissão — os itens de preparo da apelante, e a guia somente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O subscritor atua, portanto, na dupla condição de administrador e de advogado da apelante.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sociedade,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(pedido de efeito suspensivo) — Código Civil, art. 662, parágrafo único —,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de preparo, do comprovante de pagamento e do extrato da guia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da apelante (Doc. 3), com a anotação do mandato no cadastro de procuradores, e a juntada dos documentos que compõem 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petição, cujos originais permanecem sob sua guarda (Lei n. 11.419/2006, art. 11, § 1º; CPC, art. 425, VI e § 1º).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2026-09-02T16:15:41.375Z</dcterms:created>
  <dcterms:modified xsi:type="dcterms:W3CDTF">2026-09-02T16:15:41.375Z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