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Constam do cadastro de procuradores da apelante, nestes autos e nos autos de origem, além do subscritor, as advogadas Caroline Vaz (OAB/SC 54.142) e Lígia Luis (OAB/SC 53.624).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Ambas renunciaram ao mandato em 01/08/2023 (Evento 211 dos autos de origem), com prova da comunicação à mandante (notificação de 11/07/2023 e mensagem eletrônica de 31/07/2023),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 apelante já requereu, por duas vezes, que as publicações fossem feitas exclusivamente em nome do subscritor (Evento 40, de 04/09/2018, e Evento 65, de 26/08/2019, dos autos de origem), e há registros de publicações em nome de inscrição diversa da sua ("OAB 14870/MS"). [CONFERIR NO EPROC: eventos e datas das publicações com a inscrição errada]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representação atual da apelante está documentada na procuração e no ato constitutivo juntados com a petição de cumprimento do despacho do Evento 25 (Docs. 2 e 3 daquela petição), protocolada nesta data.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Contratual (JUCESC, 08/06/2021), como consta do ato constitutivo juntado e do próprio despacho do Evento 25.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renúncia ao mandato, comunicada ao mandante, produz efeitos após o decêndio do art. 112, § 1º, do Código de Processo Civil. Decorrido há muito esse prazo, as renunciantes não representam a apelante, e a manutenção de seus nomes no cadastro só gera o risco de intimações dirigidas a quem não é mais procurador.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assegura que, requerida a intimação em nome de advogado determinado, as publicações contenham o seu nome e o número de sua inscrição; o § 5º do mesmo artigo comina nulidade ao descumprimento. Renova-se, por isso, o requerimento já formulado nos autos de origem.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A procuração e o ato constitutivo da apelante constam dos Docs. 2 e 3 da petição de cumprimento do despacho do Evento 25, protocolada nesta data, aos quais se reporta.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2026-09-02T16:08:24.505Z</dcterms:created>
  <dcterms:modified xsi:type="dcterms:W3CDTF">2026-09-02T16:08:24.505Z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