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line="360"/>
        <w:jc w:val="center"/>
      </w:pPr>
      <w:r>
        <w:rPr>
          <w:rFonts w:ascii="Times New Roman" w:cs="Times New Roman" w:eastAsia="Times New Roman" w:hAnsi="Times New Roman"/>
          <w:b/>
          <w:bCs/>
          <w:sz w:val="24"/>
          <w:szCs w:val="24"/>
        </w:rPr>
        <w:t xml:space="preserve">AUDITORIA PONTA A PONTA — ACP 0900193-90.2016.8.24.0064 (TJSC)</w:t>
      </w:r>
    </w:p>
    <w:p>
      <w:pPr>
        <w:keepNext/>
        <w:keepLines/>
        <w:spacing w:after="120" w:line="360"/>
        <w:jc w:val="center"/>
      </w:pPr>
      <w:r>
        <w:rPr>
          <w:rFonts w:ascii="Times New Roman" w:cs="Times New Roman" w:eastAsia="Times New Roman" w:hAnsi="Times New Roman"/>
          <w:sz w:val="24"/>
          <w:szCs w:val="24"/>
        </w:rPr>
        <w:t xml:space="preserve">Apelação Cível — 2ª Câmara de Direito Público — Gab. 03 — Des. Carlos Adilson Silva</w:t>
      </w:r>
    </w:p>
    <w:p>
      <w:pPr>
        <w:keepNext w:val="false"/>
        <w:keepLines/>
        <w:spacing w:after="120" w:line="360"/>
        <w:jc w:val="center"/>
      </w:pPr>
      <w:r>
        <w:rPr>
          <w:rFonts w:ascii="Times New Roman" w:cs="Times New Roman" w:eastAsia="Times New Roman" w:hAnsi="Times New Roman"/>
          <w:sz w:val="24"/>
          <w:szCs w:val="24"/>
        </w:rPr>
        <w:t xml:space="preserve">Cliente: Antunelli e Antunelli Instituição de Idosos Ltda. (Residencial Geriátrico Sagrada Família) — Data da auditoria: 02/09/2026</w:t>
      </w:r>
    </w:p>
    <w:p>
      <w:pPr>
        <w:keepNext/>
        <w:spacing w:after="180" w:before="360" w:line="360"/>
        <w:jc w:val="left"/>
      </w:pPr>
      <w:r>
        <w:rPr>
          <w:rFonts w:ascii="Times New Roman" w:cs="Times New Roman" w:eastAsia="Times New Roman" w:hAnsi="Times New Roman"/>
          <w:b/>
          <w:bCs/>
          <w:sz w:val="24"/>
          <w:szCs w:val="24"/>
        </w:rPr>
        <w:t xml:space="preserve">Sumário executivo</w:t>
      </w:r>
    </w:p>
    <w:p>
      <w:pPr>
        <w:spacing w:after="120" w:line="360"/>
        <w:ind w:firstLine="709"/>
        <w:jc w:val="both"/>
      </w:pPr>
      <w:r>
        <w:rPr>
          <w:rFonts w:ascii="Times New Roman" w:cs="Times New Roman" w:eastAsia="Times New Roman" w:hAnsi="Times New Roman"/>
          <w:sz w:val="24"/>
          <w:szCs w:val="24"/>
        </w:rPr>
        <w:t xml:space="preserve">O processo está no 2º grau, concluso ao relator, com contrarrazões do MP (Ev. 284), parecer da PGJ (Ev. 15) e memoriais da apelante (Ev. 17). O único ato pendente com prazo é o do </w:t>
      </w:r>
      <w:r>
        <w:rPr>
          <w:rFonts w:ascii="Times New Roman" w:cs="Times New Roman" w:eastAsia="Times New Roman" w:hAnsi="Times New Roman"/>
          <w:b/>
          <w:bCs/>
          <w:sz w:val="24"/>
          <w:szCs w:val="24"/>
        </w:rPr>
        <w:t xml:space="preserve">Ev. 25</w:t>
      </w:r>
      <w:r>
        <w:rPr>
          <w:rFonts w:ascii="Times New Roman" w:cs="Times New Roman" w:eastAsia="Times New Roman" w:hAnsi="Times New Roman"/>
          <w:sz w:val="24"/>
          <w:szCs w:val="24"/>
        </w:rPr>
        <w:t xml:space="preserve"> (despacho de 26/08/2026): em 5 dias, comprovar os pressupostos da gratuidade </w:t>
      </w:r>
      <w:r>
        <w:rPr>
          <w:rFonts w:ascii="Times New Roman" w:cs="Times New Roman" w:eastAsia="Times New Roman" w:hAnsi="Times New Roman"/>
          <w:b/>
          <w:bCs/>
          <w:sz w:val="24"/>
          <w:szCs w:val="24"/>
        </w:rPr>
        <w:t xml:space="preserve">ou</w:t>
      </w:r>
      <w:r>
        <w:rPr>
          <w:rFonts w:ascii="Times New Roman" w:cs="Times New Roman" w:eastAsia="Times New Roman" w:hAnsi="Times New Roman"/>
          <w:sz w:val="24"/>
          <w:szCs w:val="24"/>
        </w:rPr>
        <w:t xml:space="preserve"> recolher o preparo, sob pena de deserção. O prazo corre de 31/08 a </w:t>
      </w:r>
      <w:r>
        <w:rPr>
          <w:rFonts w:ascii="Times New Roman" w:cs="Times New Roman" w:eastAsia="Times New Roman" w:hAnsi="Times New Roman"/>
          <w:b/>
          <w:bCs/>
          <w:sz w:val="24"/>
          <w:szCs w:val="24"/>
        </w:rPr>
        <w:t xml:space="preserve">04/09/2026</w:t>
      </w:r>
      <w:r>
        <w:rPr>
          <w:rFonts w:ascii="Times New Roman" w:cs="Times New Roman" w:eastAsia="Times New Roman" w:hAnsi="Times New Roman"/>
          <w:sz w:val="24"/>
          <w:szCs w:val="24"/>
        </w:rPr>
        <w:t xml:space="preserve"> (Ev. 27).</w:t>
      </w:r>
    </w:p>
    <w:p>
      <w:pPr>
        <w:spacing w:after="120" w:line="360"/>
        <w:ind w:firstLine="709"/>
        <w:jc w:val="both"/>
      </w:pPr>
      <w:r>
        <w:rPr>
          <w:rFonts w:ascii="Times New Roman" w:cs="Times New Roman" w:eastAsia="Times New Roman" w:hAnsi="Times New Roman"/>
          <w:sz w:val="24"/>
          <w:szCs w:val="24"/>
        </w:rPr>
        <w:t xml:space="preserve">A apelante optou por </w:t>
      </w:r>
      <w:r>
        <w:rPr>
          <w:rFonts w:ascii="Times New Roman" w:cs="Times New Roman" w:eastAsia="Times New Roman" w:hAnsi="Times New Roman"/>
          <w:b/>
          <w:bCs/>
          <w:sz w:val="24"/>
          <w:szCs w:val="24"/>
        </w:rPr>
        <w:t xml:space="preserve">recolher</w:t>
      </w:r>
      <w:r>
        <w:rPr>
          <w:rFonts w:ascii="Times New Roman" w:cs="Times New Roman" w:eastAsia="Times New Roman" w:hAnsi="Times New Roman"/>
          <w:sz w:val="24"/>
          <w:szCs w:val="24"/>
        </w:rPr>
        <w:t xml:space="preserve">. A guia só pôde ser emitida em 02/09/2026, depois que a Seção de Custas Judiciais do TJSC alterou a tarja de "Justiça Gratuita: Deferida" (erro de cadastro do cartório de origem) para "Não requerida" e gerou a guia (Ev. 31) e o link de pagamento (Ev. 32). O pagamento de </w:t>
      </w:r>
      <w:r>
        <w:rPr>
          <w:rFonts w:ascii="Times New Roman" w:cs="Times New Roman" w:eastAsia="Times New Roman" w:hAnsi="Times New Roman"/>
          <w:b/>
          <w:bCs/>
          <w:sz w:val="24"/>
          <w:szCs w:val="24"/>
        </w:rPr>
        <w:t xml:space="preserve">R$ 720,00</w:t>
      </w:r>
      <w:r>
        <w:rPr>
          <w:rFonts w:ascii="Times New Roman" w:cs="Times New Roman" w:eastAsia="Times New Roman" w:hAnsi="Times New Roman"/>
          <w:sz w:val="24"/>
          <w:szCs w:val="24"/>
        </w:rPr>
        <w:t xml:space="preserve"> foi feito em 02/09/2026 — dentro do prazo.</w:t>
      </w:r>
    </w:p>
    <w:p>
      <w:pPr>
        <w:spacing w:after="120" w:line="360"/>
        <w:ind w:firstLine="709"/>
        <w:jc w:val="both"/>
      </w:pPr>
      <w:r>
        <w:rPr>
          <w:rFonts w:ascii="Times New Roman" w:cs="Times New Roman" w:eastAsia="Times New Roman" w:hAnsi="Times New Roman"/>
          <w:sz w:val="24"/>
          <w:szCs w:val="24"/>
        </w:rPr>
        <w:t xml:space="preserve">O que precisa ir aos autos agora, em um só protocolo: (1) a petição de cumprimento do Ev. 25 com a guia e o comprovante; (2) a desistência expressa do pedido de gratuidade formulado nas razões (para que o pagamento não seja lido como ato incompatível — Súmula 51/TJSC); (3) a procuração atual da sociedade ao advogado, com ratificação dos atos praticados desde 07/02/2020, e a Sétima Alteração do contrato social — porque não há, nos autos, procuração nova em favor do subscritor depois da revogação do Ev. 93. Em petição separada, sem prazo: a baixa das duas advogadas renunciantes que ainda constam no cadastro e a intimação exclusiva em nome do subscritor.</w:t>
      </w:r>
    </w:p>
    <w:p>
      <w:pPr>
        <w:spacing w:after="120" w:line="360"/>
        <w:ind w:firstLine="709"/>
        <w:jc w:val="both"/>
      </w:pPr>
      <w:r>
        <w:rPr>
          <w:rFonts w:ascii="Times New Roman" w:cs="Times New Roman" w:eastAsia="Times New Roman" w:hAnsi="Times New Roman"/>
          <w:sz w:val="24"/>
          <w:szCs w:val="24"/>
        </w:rPr>
        <w:t xml:space="preserve">Resultado esperado: recurso apto, deserção afastada, gratuidade prejudicada por desistência, representação fechada. O próximo marco é a inclusão em pauta.</w:t>
      </w:r>
    </w:p>
    <w:p>
      <w:pPr>
        <w:keepNext/>
        <w:spacing w:after="180" w:before="360" w:line="360"/>
        <w:jc w:val="left"/>
      </w:pPr>
      <w:r>
        <w:rPr>
          <w:rFonts w:ascii="Times New Roman" w:cs="Times New Roman" w:eastAsia="Times New Roman" w:hAnsi="Times New Roman"/>
          <w:b/>
          <w:bCs/>
          <w:sz w:val="24"/>
          <w:szCs w:val="24"/>
        </w:rPr>
        <w:t xml:space="preserve">1. Identificação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Campo</w:t>
            </w:r>
          </w:p>
        </w:tc>
        <w:tc>
          <w:tcPr>
            <w:tcW w:type="dxa" w:w="453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Dado</w:t>
            </w:r>
          </w:p>
        </w:tc>
      </w:tr>
      <w:tr>
        <w:tc>
          <w:tcPr>
            <w:tcW w:type="dxa" w:w="45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Ação (1º grau)</w:t>
            </w:r>
          </w:p>
        </w:tc>
        <w:tc>
          <w:tcPr>
            <w:tcW w:type="dxa" w:w="45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ACP n. 0900193-90.2016.8.24.0064 — Vara da Fazenda Pública de São José/SC — sentença de 21/04/2026 (Ev. 271), Juiz Fernando Yazbek Zazini</w:t>
            </w:r>
          </w:p>
        </w:tc>
      </w:tr>
      <w:tr>
        <w:tc>
          <w:tcPr>
            <w:tcW w:type="dxa" w:w="45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Recurso (2º grau)</w:t>
            </w:r>
          </w:p>
        </w:tc>
        <w:tc>
          <w:tcPr>
            <w:tcW w:type="dxa" w:w="45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Apelação Cível n. 0900193-90.2016.8.24.0064/TJSC — 2ª Câmara de Direito Público, Gab. 03, Relator Des. Carlos Adilson Silva (prevento) — distribuída em 15/07/2026</w:t>
            </w:r>
          </w:p>
        </w:tc>
      </w:tr>
      <w:tr>
        <w:tc>
          <w:tcPr>
            <w:tcW w:type="dxa" w:w="45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Apelado</w:t>
            </w:r>
          </w:p>
        </w:tc>
        <w:tc>
          <w:tcPr>
            <w:tcW w:type="dxa" w:w="45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Ministério Público do Estado de Santa Catarina</w:t>
            </w:r>
          </w:p>
        </w:tc>
      </w:tr>
      <w:tr>
        <w:tc>
          <w:tcPr>
            <w:tcW w:type="dxa" w:w="45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Apelante</w:t>
            </w:r>
          </w:p>
        </w:tc>
        <w:tc>
          <w:tcPr>
            <w:tcW w:type="dxa" w:w="45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Antunelli e Antunelli Instituição de Idosos Ltda., CNPJ 02.145.891/0001-08 (capa do 2º grau grafa "EIRELI" — erro)</w:t>
            </w:r>
          </w:p>
        </w:tc>
      </w:tr>
      <w:tr>
        <w:tc>
          <w:tcPr>
            <w:tcW w:type="dxa" w:w="45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Litisconsorte</w:t>
            </w:r>
          </w:p>
        </w:tc>
        <w:tc>
          <w:tcPr>
            <w:tcW w:type="dxa" w:w="45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Município de São José/SC (também apelou — Ev. 288)</w:t>
            </w:r>
          </w:p>
        </w:tc>
      </w:tr>
      <w:tr>
        <w:tc>
          <w:tcPr>
            <w:tcW w:type="dxa" w:w="45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Advogado da apelante</w:t>
            </w:r>
          </w:p>
        </w:tc>
        <w:tc>
          <w:tcPr>
            <w:tcW w:type="dxa" w:w="45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Gabriel Fabrízio do Espírito Santo, OAB/SC 53.040 — também sócio único e administrador isolado da apelante (Sétima Alteração, JUCESC 08/06/2021)</w:t>
            </w:r>
          </w:p>
        </w:tc>
      </w:tr>
      <w:tr>
        <w:tc>
          <w:tcPr>
            <w:tcW w:type="dxa" w:w="45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Ainda no cadastro</w:t>
            </w:r>
          </w:p>
        </w:tc>
        <w:tc>
          <w:tcPr>
            <w:tcW w:type="dxa" w:w="45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Caroline Vaz (OAB/SC 54.142) e Lígia Luis (OAB/SC 53.624), renunciantes desde 01/08/2023 (Ev. 211)</w:t>
            </w:r>
          </w:p>
        </w:tc>
      </w:tr>
      <w:tr>
        <w:tc>
          <w:tcPr>
            <w:tcW w:type="dxa" w:w="45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Incidente encerrado</w:t>
            </w:r>
          </w:p>
        </w:tc>
        <w:tc>
          <w:tcPr>
            <w:tcW w:type="dxa" w:w="45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Pedido de efeito suspensivo n. 5049926-11.2026.8.24.0000 — não conhecido (a apelação já suspende a sentença por lei, CPC art. 1.012, caput); trânsito em 04/08/2026</w:t>
            </w:r>
          </w:p>
        </w:tc>
      </w:tr>
    </w:tbl>
    <w:p>
      <w:pPr>
        <w:spacing w:after="120"/>
      </w:pPr>
    </w:p>
    <w:p>
      <w:pPr>
        <w:keepNext/>
        <w:spacing w:after="180" w:before="360" w:line="360"/>
        <w:jc w:val="left"/>
      </w:pPr>
      <w:r>
        <w:rPr>
          <w:rFonts w:ascii="Times New Roman" w:cs="Times New Roman" w:eastAsia="Times New Roman" w:hAnsi="Times New Roman"/>
          <w:b/>
          <w:bCs/>
          <w:sz w:val="24"/>
          <w:szCs w:val="24"/>
        </w:rPr>
        <w:t xml:space="preserve">2. Linha do tempo que importa para o ato de hoje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Data</w:t>
            </w:r>
          </w:p>
        </w:tc>
        <w:tc>
          <w:tcPr>
            <w:tcW w:type="dxa" w:w="3024"/>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Evento</w:t>
            </w:r>
          </w:p>
        </w:tc>
        <w:tc>
          <w:tcPr>
            <w:tcW w:type="dxa" w:w="3024"/>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O que aconteceu</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21/04/2026</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1g Ev. 271</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Sentença: 65 obrigações; multa R$ 500/dia por obrigação, teto inicial R$ 200 mil (o MP admitiu depois que o teto é global)</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11/05/2026</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1g Ev. 280/281</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Apelação da Antunelli, com pedido de gratuidade nas razões ("Justiça gratuita: Requerida")</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01/06/2026</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1g Ev. 284</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Contrarrazões do MP: conhecimento e desprovimento; efeito suspensivo ope legis</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04–09/06/2026</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Incidente 5049926</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Pedido de efeito suspensivo não conhecido: sentença já suspensa ex lege</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12/06/2026</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1g Ev. 288</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Apelação do Município</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15/07/2026</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1g Ev. 293/294</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Cartório certifica "Justiça gratuita: Deferida" (erro) e altera o assunto; autos remetidos ao TJ</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15/07/2026</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2g Ev. 1–4</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Distribuição por prevenção; comunicações repetem "Deferida"; "não foram encontradas guias"</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07/08/2026</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2g Ev. 15/16</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Parecer da PGJ: conhecimento condicionado à gratuidade ou ao preparo; desprovimento. Conclusos</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14/08/2026</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2g Ev. 17</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Memoriais da apelante (pediram intimação da pauta e preferência)</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20–21/08/2026</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2g Ev. 18, 22, 23</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Despacho; Diretoria de Cadastro reclassifica para "Requerida no Recurso" e certifica o erro</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26/08/2026</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2g Ev. 25/27</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Despacho: 5 dias para comprovar gratuidade ou recolher, sob pena de deserção; intimação expedida</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27–28/08/2026</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2g Ev. 28/29</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Disponibilização e publicação no DJEN</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31/08/2026</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Início do prazo (segunda-feira)</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02/09/2026 10h27–10h52</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e-mails</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Guia tarjada no sistema; Seção de Custas altera a tarja e gera a guia (Ev. 31) e o link (Ev. 32)</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02/09/2026</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Pagamento de R$ 720,00 (informado pelo advogado; comprovante não visto nesta auditoria)</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04/09/2026 23:59</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2g Ev. 27</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Termo final do prazo</w:t>
            </w:r>
          </w:p>
        </w:tc>
      </w:tr>
    </w:tbl>
    <w:p>
      <w:pPr>
        <w:spacing w:after="120"/>
      </w:pPr>
    </w:p>
    <w:p>
      <w:pPr>
        <w:keepNext/>
        <w:spacing w:after="180" w:before="360" w:line="360"/>
        <w:jc w:val="left"/>
      </w:pPr>
      <w:r>
        <w:rPr>
          <w:rFonts w:ascii="Times New Roman" w:cs="Times New Roman" w:eastAsia="Times New Roman" w:hAnsi="Times New Roman"/>
          <w:b/>
          <w:bCs/>
          <w:sz w:val="24"/>
          <w:szCs w:val="24"/>
        </w:rPr>
        <w:t xml:space="preserve">3. O despacho do Ev. 25 e o prazo</w:t>
      </w:r>
    </w:p>
    <w:p>
      <w:pPr>
        <w:pStyle w:val="ListParagraph"/>
        <w:numPr>
          <w:ilvl w:val="0"/>
          <w:numId w:val="2"/>
        </w:numPr>
        <w:spacing w:after="80" w:line="360"/>
        <w:jc w:val="both"/>
      </w:pPr>
      <w:r>
        <w:rPr>
          <w:rFonts w:ascii="Times New Roman" w:cs="Times New Roman" w:eastAsia="Times New Roman" w:hAnsi="Times New Roman"/>
          <w:sz w:val="24"/>
          <w:szCs w:val="24"/>
        </w:rPr>
        <w:t xml:space="preserve">Fundamento do despacho: CPC art. 99, § 2º (antes de indeferir a gratuidade, o juiz manda comprovar os pressupostos) e Súmula 481/STJ (pessoa jurídica só obtém gratuidade se demonstrar a impossibilidade de arcar com os encargos). Não é o § 7º do art. 99 (indeferimento com prazo para recolher): o relator ainda não indeferiu nada — abriu a alternativa.</w:t>
      </w:r>
    </w:p>
    <w:p>
      <w:pPr>
        <w:pStyle w:val="ListParagraph"/>
        <w:numPr>
          <w:ilvl w:val="0"/>
          <w:numId w:val="2"/>
        </w:numPr>
        <w:spacing w:after="80" w:line="360"/>
        <w:jc w:val="both"/>
      </w:pPr>
      <w:r>
        <w:rPr>
          <w:rFonts w:ascii="Times New Roman" w:cs="Times New Roman" w:eastAsia="Times New Roman" w:hAnsi="Times New Roman"/>
          <w:sz w:val="24"/>
          <w:szCs w:val="24"/>
        </w:rPr>
        <w:t xml:space="preserve">Alternativa posta pelo relator: comprovar </w:t>
      </w:r>
      <w:r>
        <w:rPr>
          <w:rFonts w:ascii="Times New Roman" w:cs="Times New Roman" w:eastAsia="Times New Roman" w:hAnsi="Times New Roman"/>
          <w:b/>
          <w:bCs/>
          <w:sz w:val="24"/>
          <w:szCs w:val="24"/>
        </w:rPr>
        <w:t xml:space="preserve">ou</w:t>
      </w:r>
      <w:r>
        <w:rPr>
          <w:rFonts w:ascii="Times New Roman" w:cs="Times New Roman" w:eastAsia="Times New Roman" w:hAnsi="Times New Roman"/>
          <w:sz w:val="24"/>
          <w:szCs w:val="24"/>
        </w:rPr>
        <w:t xml:space="preserve"> recolher. Recolher dentro do prazo cumpre o despacho por si; não é preciso demonstrar nada sobre a situação financeira.</w:t>
      </w:r>
    </w:p>
    <w:p>
      <w:pPr>
        <w:pStyle w:val="ListParagraph"/>
        <w:numPr>
          <w:ilvl w:val="0"/>
          <w:numId w:val="2"/>
        </w:numPr>
        <w:spacing w:after="80" w:line="360"/>
        <w:jc w:val="both"/>
      </w:pPr>
      <w:r>
        <w:rPr>
          <w:rFonts w:ascii="Times New Roman" w:cs="Times New Roman" w:eastAsia="Times New Roman" w:hAnsi="Times New Roman"/>
          <w:sz w:val="24"/>
          <w:szCs w:val="24"/>
        </w:rPr>
        <w:t xml:space="preserve">Prazo: 5 dias úteis (CPC arts. 219 e 224, §§ 2º e 3º). Publicação em 28/08 (sexta); início 31/08 (segunda); termo final 04/09 (sexta), como o próprio eproc computou no Ev. 27. Sem feriado forense no intervalo (07/09 é depois).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Pagamento em 02/09: tempestivo, com dois dias úteis de folga.</w:t>
      </w:r>
    </w:p>
    <w:p>
      <w:pPr>
        <w:keepNext/>
        <w:spacing w:after="180" w:before="360" w:line="360"/>
        <w:jc w:val="left"/>
      </w:pPr>
      <w:r>
        <w:rPr>
          <w:rFonts w:ascii="Times New Roman" w:cs="Times New Roman" w:eastAsia="Times New Roman" w:hAnsi="Times New Roman"/>
          <w:b/>
          <w:bCs/>
          <w:sz w:val="24"/>
          <w:szCs w:val="24"/>
        </w:rPr>
        <w:t xml:space="preserve">4. Auditoria da guia paga</w:t>
      </w:r>
    </w:p>
    <w:p>
      <w:pPr>
        <w:keepNext/>
        <w:spacing w:after="120" w:before="240" w:line="360"/>
        <w:jc w:val="left"/>
      </w:pPr>
      <w:r>
        <w:rPr>
          <w:rFonts w:ascii="Times New Roman" w:cs="Times New Roman" w:eastAsia="Times New Roman" w:hAnsi="Times New Roman"/>
          <w:b/>
          <w:bCs/>
          <w:i/>
          <w:iCs/>
          <w:sz w:val="24"/>
          <w:szCs w:val="24"/>
        </w:rPr>
        <w:t xml:space="preserve">4.1 Origem e valor</w:t>
      </w:r>
    </w:p>
    <w:p>
      <w:pPr>
        <w:pStyle w:val="ListParagraph"/>
        <w:numPr>
          <w:ilvl w:val="0"/>
          <w:numId w:val="2"/>
        </w:numPr>
        <w:spacing w:after="80" w:line="360"/>
        <w:jc w:val="both"/>
      </w:pPr>
      <w:r>
        <w:rPr>
          <w:rFonts w:ascii="Times New Roman" w:cs="Times New Roman" w:eastAsia="Times New Roman" w:hAnsi="Times New Roman"/>
          <w:sz w:val="24"/>
          <w:szCs w:val="24"/>
        </w:rPr>
        <w:t xml:space="preserve">A guia foi gerada pela própria Seção de Custas Judiciais (DCDP) no Ev. 31, em 02/09/2026, para "preparo recursal de apelação". Valor do item gerado pelo sistema no mesmo dia (ID 51010131): </w:t>
      </w:r>
      <w:r>
        <w:rPr>
          <w:rFonts w:ascii="Times New Roman" w:cs="Times New Roman" w:eastAsia="Times New Roman" w:hAnsi="Times New Roman"/>
          <w:b/>
          <w:bCs/>
          <w:sz w:val="24"/>
          <w:szCs w:val="24"/>
        </w:rPr>
        <w:t xml:space="preserve">R$ 720,00</w:t>
      </w:r>
      <w:r>
        <w:rPr>
          <w:rFonts w:ascii="Times New Roman" w:cs="Times New Roman" w:eastAsia="Times New Roman" w:hAnsi="Times New Roman"/>
          <w:sz w:val="24"/>
          <w:szCs w:val="24"/>
        </w:rPr>
        <w:t xml:space="preserve">. É valor fixo de tabela (Lei estadual n. 17.654/2018, Anexo Único, com os valores atualizados para 2026 por ato do TJSC — a verificação adversarial apontou que a Circular CGJ n. 643/2025, citada nas notas do escritório, trata dos emolumentos do foro extrajudicial, e não da Taxa de Serviços Judiciais; por isso a peça não nomeia o ato e ancora o valor na guia emitida pela própria Seção de Custas). Autos eletrônicos não têm porte de remessa e retorno (CPC, art. 1.007, § 3º).</w:t>
      </w:r>
    </w:p>
    <w:p>
      <w:pPr>
        <w:pStyle w:val="ListParagraph"/>
        <w:numPr>
          <w:ilvl w:val="0"/>
          <w:numId w:val="2"/>
        </w:numPr>
        <w:spacing w:after="80" w:line="360"/>
        <w:jc w:val="both"/>
      </w:pPr>
      <w:r>
        <w:rPr>
          <w:rFonts w:ascii="Times New Roman" w:cs="Times New Roman" w:eastAsia="Times New Roman" w:hAnsi="Times New Roman"/>
          <w:sz w:val="24"/>
          <w:szCs w:val="24"/>
        </w:rPr>
        <w:t xml:space="preserve">Os itens anteriores (R$ 724,33 em 10/05 e R$ 724,18 em 11/05/2026) eram cálculos de maio, tarjados; não devem ser pagos nem mencionados como devidos.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Conferir no comprovante: número da guia igual ao do Ev. 31; valor R$ 720,00; data 02/09/2026; identificação do processo. Se o valor pago divergir por centavos, a peça já pede intimação para complementar (CPC art. 1.007, § 2º) — insuficiência não gera deserção sem prévia intimação.</w:t>
      </w:r>
    </w:p>
    <w:p>
      <w:pPr>
        <w:keepNext/>
        <w:spacing w:after="120" w:before="240" w:line="360"/>
        <w:jc w:val="left"/>
      </w:pPr>
      <w:r>
        <w:rPr>
          <w:rFonts w:ascii="Times New Roman" w:cs="Times New Roman" w:eastAsia="Times New Roman" w:hAnsi="Times New Roman"/>
          <w:b/>
          <w:bCs/>
          <w:i/>
          <w:iCs/>
          <w:sz w:val="24"/>
          <w:szCs w:val="24"/>
        </w:rPr>
        <w:t xml:space="preserve">4.2 Meio de pagamento e compensação</w:t>
      </w:r>
    </w:p>
    <w:p>
      <w:pPr>
        <w:pStyle w:val="ListParagraph"/>
        <w:numPr>
          <w:ilvl w:val="0"/>
          <w:numId w:val="2"/>
        </w:numPr>
        <w:spacing w:after="80" w:line="360"/>
        <w:jc w:val="both"/>
      </w:pPr>
      <w:r>
        <w:rPr>
          <w:rFonts w:ascii="Times New Roman" w:cs="Times New Roman" w:eastAsia="Times New Roman" w:hAnsi="Times New Roman"/>
          <w:sz w:val="24"/>
          <w:szCs w:val="24"/>
        </w:rPr>
        <w:t xml:space="preserve">A Seção de Custas ofereceu cartão de crédito ou boleto (Ev. 32). Pagamento por cartão é confirmado de imediato no sistema; por boleto, a compensação leva até 1–3 dias úteis, e a Resolução CM n. 3/2019 do TJSC (art. 1º, § 4º) deixa claro que a data de vencimento do boleto não altera a contagem do prazo processual — o que vale é pagar dentro do prazo, e o comprovante bancário prova isso.</w:t>
      </w:r>
    </w:p>
    <w:p>
      <w:pPr>
        <w:pStyle w:val="ListParagraph"/>
        <w:numPr>
          <w:ilvl w:val="0"/>
          <w:numId w:val="2"/>
        </w:numPr>
        <w:spacing w:after="80" w:line="360"/>
        <w:jc w:val="both"/>
      </w:pPr>
      <w:r>
        <w:rPr>
          <w:rFonts w:ascii="Times New Roman" w:cs="Times New Roman" w:eastAsia="Times New Roman" w:hAnsi="Times New Roman"/>
          <w:sz w:val="24"/>
          <w:szCs w:val="24"/>
        </w:rPr>
        <w:t xml:space="preserve">Antes de protocolar, abrir a aba "Custas" do processo e ver a situação da guia. Se constar "paga/baixada", juntar o extrato da guia como parte do Doc. 1. Se constar "aguardando compensação", juntar o comprovante bancário e dizer isso na peça.</w:t>
      </w:r>
    </w:p>
    <w:p>
      <w:pPr>
        <w:keepNext/>
        <w:spacing w:after="120" w:before="240" w:line="360"/>
        <w:jc w:val="left"/>
      </w:pPr>
      <w:r>
        <w:rPr>
          <w:rFonts w:ascii="Times New Roman" w:cs="Times New Roman" w:eastAsia="Times New Roman" w:hAnsi="Times New Roman"/>
          <w:b/>
          <w:bCs/>
          <w:i/>
          <w:iCs/>
          <w:sz w:val="24"/>
          <w:szCs w:val="24"/>
        </w:rPr>
        <w:t xml:space="preserve">4.3 Súmula 51 do TJSC — o cuidado que decide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Texto: "O pedido de justiça gratuita seguido do pagamento do preparo pelo recorrente é considerado ato incompatível com o interesse de recorrer, impossibilitando o conhecimento do recurso no ponto."</w:t>
      </w:r>
    </w:p>
    <w:p>
      <w:pPr>
        <w:pStyle w:val="ListParagraph"/>
        <w:numPr>
          <w:ilvl w:val="0"/>
          <w:numId w:val="2"/>
        </w:numPr>
        <w:spacing w:after="80" w:line="360"/>
        <w:jc w:val="both"/>
      </w:pPr>
      <w:r>
        <w:rPr>
          <w:rFonts w:ascii="Times New Roman" w:cs="Times New Roman" w:eastAsia="Times New Roman" w:hAnsi="Times New Roman"/>
          <w:sz w:val="24"/>
          <w:szCs w:val="24"/>
        </w:rPr>
        <w:t xml:space="preserve">Efeito prático: o pagamento torna prejudicado o pedido de gratuidade ("no ponto"), não o recurso inteiro. Para que não haja dúvida, a peça </w:t>
      </w:r>
      <w:r>
        <w:rPr>
          <w:rFonts w:ascii="Times New Roman" w:cs="Times New Roman" w:eastAsia="Times New Roman" w:hAnsi="Times New Roman"/>
          <w:b/>
          <w:bCs/>
          <w:sz w:val="24"/>
          <w:szCs w:val="24"/>
        </w:rPr>
        <w:t xml:space="preserve">desiste expressamente</w:t>
      </w:r>
      <w:r>
        <w:rPr>
          <w:rFonts w:ascii="Times New Roman" w:cs="Times New Roman" w:eastAsia="Times New Roman" w:hAnsi="Times New Roman"/>
          <w:sz w:val="24"/>
          <w:szCs w:val="24"/>
        </w:rPr>
        <w:t xml:space="preserve"> do pedido de gratuidade formulado nas razões e pede que ele seja declarado prejudicado. A peça </w:t>
      </w:r>
      <w:r>
        <w:rPr>
          <w:rFonts w:ascii="Times New Roman" w:cs="Times New Roman" w:eastAsia="Times New Roman" w:hAnsi="Times New Roman"/>
          <w:b/>
          <w:bCs/>
          <w:sz w:val="24"/>
          <w:szCs w:val="24"/>
        </w:rPr>
        <w:t xml:space="preserve">não</w:t>
      </w:r>
      <w:r>
        <w:rPr>
          <w:rFonts w:ascii="Times New Roman" w:cs="Times New Roman" w:eastAsia="Times New Roman" w:hAnsi="Times New Roman"/>
          <w:sz w:val="24"/>
          <w:szCs w:val="24"/>
        </w:rPr>
        <w:t xml:space="preserve"> renova gratuidade, </w:t>
      </w:r>
      <w:r>
        <w:rPr>
          <w:rFonts w:ascii="Times New Roman" w:cs="Times New Roman" w:eastAsia="Times New Roman" w:hAnsi="Times New Roman"/>
          <w:b/>
          <w:bCs/>
          <w:sz w:val="24"/>
          <w:szCs w:val="24"/>
        </w:rPr>
        <w:t xml:space="preserve">não</w:t>
      </w:r>
      <w:r>
        <w:rPr>
          <w:rFonts w:ascii="Times New Roman" w:cs="Times New Roman" w:eastAsia="Times New Roman" w:hAnsi="Times New Roman"/>
          <w:sz w:val="24"/>
          <w:szCs w:val="24"/>
        </w:rPr>
        <w:t xml:space="preserve"> pede devolução de prazo e </w:t>
      </w:r>
      <w:r>
        <w:rPr>
          <w:rFonts w:ascii="Times New Roman" w:cs="Times New Roman" w:eastAsia="Times New Roman" w:hAnsi="Times New Roman"/>
          <w:b/>
          <w:bCs/>
          <w:sz w:val="24"/>
          <w:szCs w:val="24"/>
        </w:rPr>
        <w:t xml:space="preserve">não</w:t>
      </w:r>
      <w:r>
        <w:rPr>
          <w:rFonts w:ascii="Times New Roman" w:cs="Times New Roman" w:eastAsia="Times New Roman" w:hAnsi="Times New Roman"/>
          <w:sz w:val="24"/>
          <w:szCs w:val="24"/>
        </w:rPr>
        <w:t xml:space="preserve"> pede nada em caráter subsidiário sobre gratuidade.</w:t>
      </w:r>
    </w:p>
    <w:p>
      <w:pPr>
        <w:keepNext/>
        <w:spacing w:after="120" w:before="240" w:line="360"/>
        <w:jc w:val="left"/>
      </w:pPr>
      <w:r>
        <w:rPr>
          <w:rFonts w:ascii="Times New Roman" w:cs="Times New Roman" w:eastAsia="Times New Roman" w:hAnsi="Times New Roman"/>
          <w:b/>
          <w:bCs/>
          <w:i/>
          <w:iCs/>
          <w:sz w:val="24"/>
          <w:szCs w:val="24"/>
        </w:rPr>
        <w:t xml:space="preserve">4.4 Recolhimento simples, não em dobro</w:t>
      </w:r>
    </w:p>
    <w:p>
      <w:pPr>
        <w:pStyle w:val="ListParagraph"/>
        <w:numPr>
          <w:ilvl w:val="0"/>
          <w:numId w:val="2"/>
        </w:numPr>
        <w:spacing w:after="80" w:line="360"/>
        <w:jc w:val="both"/>
      </w:pPr>
      <w:r>
        <w:rPr>
          <w:rFonts w:ascii="Times New Roman" w:cs="Times New Roman" w:eastAsia="Times New Roman" w:hAnsi="Times New Roman"/>
          <w:sz w:val="24"/>
          <w:szCs w:val="24"/>
        </w:rPr>
        <w:t xml:space="preserve">O § 4º do art. 1.007 (recolher em dobro) alcança quem interpôs o recurso </w:t>
      </w:r>
      <w:r>
        <w:rPr>
          <w:rFonts w:ascii="Times New Roman" w:cs="Times New Roman" w:eastAsia="Times New Roman" w:hAnsi="Times New Roman"/>
          <w:b/>
          <w:bCs/>
          <w:sz w:val="24"/>
          <w:szCs w:val="24"/>
        </w:rPr>
        <w:t xml:space="preserve">sem</w:t>
      </w:r>
      <w:r>
        <w:rPr>
          <w:rFonts w:ascii="Times New Roman" w:cs="Times New Roman" w:eastAsia="Times New Roman" w:hAnsi="Times New Roman"/>
          <w:sz w:val="24"/>
          <w:szCs w:val="24"/>
        </w:rPr>
        <w:t xml:space="preserve"> comprovar o preparo e </w:t>
      </w:r>
      <w:r>
        <w:rPr>
          <w:rFonts w:ascii="Times New Roman" w:cs="Times New Roman" w:eastAsia="Times New Roman" w:hAnsi="Times New Roman"/>
          <w:b/>
          <w:bCs/>
          <w:sz w:val="24"/>
          <w:szCs w:val="24"/>
        </w:rPr>
        <w:t xml:space="preserve">sem</w:t>
      </w:r>
      <w:r>
        <w:rPr>
          <w:rFonts w:ascii="Times New Roman" w:cs="Times New Roman" w:eastAsia="Times New Roman" w:hAnsi="Times New Roman"/>
          <w:sz w:val="24"/>
          <w:szCs w:val="24"/>
        </w:rPr>
        <w:t xml:space="preserve"> requerer gratuidade. Aqui houve requerimento de gratuidade nas razões (Ev. 281; certidão do Ev. 23), o que dispensava a comprovação no ato (CPC art. 99, § 7º), e o relator fixou prazo para recolhimento singular. O sistema gerou a guia no valor simples. A peça registra isso em uma frase, sem polemizar.</w:t>
      </w:r>
    </w:p>
    <w:p>
      <w:pPr>
        <w:keepNext/>
        <w:spacing w:after="120" w:before="240" w:line="360"/>
        <w:jc w:val="left"/>
      </w:pPr>
      <w:r>
        <w:rPr>
          <w:rFonts w:ascii="Times New Roman" w:cs="Times New Roman" w:eastAsia="Times New Roman" w:hAnsi="Times New Roman"/>
          <w:b/>
          <w:bCs/>
          <w:i/>
          <w:iCs/>
          <w:sz w:val="24"/>
          <w:szCs w:val="24"/>
        </w:rPr>
        <w:t xml:space="preserve">4.5 Justo impedimento — registro, não pedido</w:t>
      </w:r>
    </w:p>
    <w:p>
      <w:pPr>
        <w:pStyle w:val="ListParagraph"/>
        <w:numPr>
          <w:ilvl w:val="0"/>
          <w:numId w:val="2"/>
        </w:numPr>
        <w:spacing w:after="80" w:line="360"/>
        <w:jc w:val="both"/>
      </w:pPr>
      <w:r>
        <w:rPr>
          <w:rFonts w:ascii="Times New Roman" w:cs="Times New Roman" w:eastAsia="Times New Roman" w:hAnsi="Times New Roman"/>
          <w:sz w:val="24"/>
          <w:szCs w:val="24"/>
        </w:rPr>
        <w:t xml:space="preserve">O erro de cadastro está documentado em dois graus (Ev. 293/294 do 1º grau; Ev. 3 e 4 do 2º grau) e só foi corrigido em 21/08 (Ev. 22/23); em 02/09 a guia ainda estava tarjada e só foi emitida após contato com a DCDP. Isso entra na peça como </w:t>
      </w:r>
      <w:r>
        <w:rPr>
          <w:rFonts w:ascii="Times New Roman" w:cs="Times New Roman" w:eastAsia="Times New Roman" w:hAnsi="Times New Roman"/>
          <w:b/>
          <w:bCs/>
          <w:sz w:val="24"/>
          <w:szCs w:val="24"/>
        </w:rPr>
        <w:t xml:space="preserve">registro</w:t>
      </w:r>
      <w:r>
        <w:rPr>
          <w:rFonts w:ascii="Times New Roman" w:cs="Times New Roman" w:eastAsia="Times New Roman" w:hAnsi="Times New Roman"/>
          <w:sz w:val="24"/>
          <w:szCs w:val="24"/>
        </w:rPr>
        <w:t xml:space="preserve"> (CPC art. 1.007, § 6º, e boa-fé, art. 5º), com prova (print da tela e e-mails — Doc. 4). Não se pede devolução de prazo porque o prazo foi cumprido.</w:t>
      </w:r>
    </w:p>
    <w:p>
      <w:pPr>
        <w:keepNext/>
        <w:spacing w:after="120" w:before="240" w:line="360"/>
        <w:jc w:val="left"/>
      </w:pPr>
      <w:r>
        <w:rPr>
          <w:rFonts w:ascii="Times New Roman" w:cs="Times New Roman" w:eastAsia="Times New Roman" w:hAnsi="Times New Roman"/>
          <w:b/>
          <w:bCs/>
          <w:i/>
          <w:iCs/>
          <w:sz w:val="24"/>
          <w:szCs w:val="24"/>
        </w:rPr>
        <w:t xml:space="preserve">4.6 Veredito sobre a guia</w:t>
      </w:r>
    </w:p>
    <w:p>
      <w:pPr>
        <w:spacing w:after="120" w:line="360"/>
        <w:ind w:firstLine="709"/>
        <w:jc w:val="both"/>
      </w:pPr>
      <w:r>
        <w:rPr>
          <w:rFonts w:ascii="Times New Roman" w:cs="Times New Roman" w:eastAsia="Times New Roman" w:hAnsi="Times New Roman"/>
          <w:sz w:val="24"/>
          <w:szCs w:val="24"/>
        </w:rPr>
        <w:t xml:space="preserve">A guia e o pagamento cumprem o Ev. 25. Risco residual baixo, concentrado em (i) comprovante ilegível ou sem identificação do processo, (ii) boleto ainda não compensado no momento em que o relator olhar, (iii) redação ambígua que pareça manter o pedido de gratuidade. Os três são tratados na peça e no checklist.</w:t>
      </w:r>
    </w:p>
    <w:p>
      <w:pPr>
        <w:keepNext/>
        <w:spacing w:after="180" w:before="360" w:line="360"/>
        <w:jc w:val="left"/>
      </w:pPr>
      <w:r>
        <w:rPr>
          <w:rFonts w:ascii="Times New Roman" w:cs="Times New Roman" w:eastAsia="Times New Roman" w:hAnsi="Times New Roman"/>
          <w:b/>
          <w:bCs/>
          <w:sz w:val="24"/>
          <w:szCs w:val="24"/>
        </w:rPr>
        <w:t xml:space="preserve">5. Representação processual — o segundo risco de não conhecimento</w:t>
      </w:r>
    </w:p>
    <w:p>
      <w:pPr>
        <w:pStyle w:val="ListParagraph"/>
        <w:numPr>
          <w:ilvl w:val="0"/>
          <w:numId w:val="2"/>
        </w:numPr>
        <w:spacing w:after="80" w:line="360"/>
        <w:jc w:val="both"/>
      </w:pPr>
      <w:r>
        <w:rPr>
          <w:rFonts w:ascii="Times New Roman" w:cs="Times New Roman" w:eastAsia="Times New Roman" w:hAnsi="Times New Roman"/>
          <w:sz w:val="24"/>
          <w:szCs w:val="24"/>
        </w:rPr>
        <w:t xml:space="preserve">Cadeia nos autos: procuração inicial (Ev. 21) e substabelecimento ao subscritor (Ev. 38, 2018); </w:t>
      </w:r>
      <w:r>
        <w:rPr>
          <w:rFonts w:ascii="Times New Roman" w:cs="Times New Roman" w:eastAsia="Times New Roman" w:hAnsi="Times New Roman"/>
          <w:b/>
          <w:bCs/>
          <w:sz w:val="24"/>
          <w:szCs w:val="24"/>
        </w:rPr>
        <w:t xml:space="preserve">revogação</w:t>
      </w:r>
      <w:r>
        <w:rPr>
          <w:rFonts w:ascii="Times New Roman" w:cs="Times New Roman" w:eastAsia="Times New Roman" w:hAnsi="Times New Roman"/>
          <w:sz w:val="24"/>
          <w:szCs w:val="24"/>
        </w:rPr>
        <w:t xml:space="preserve"> do mandato do subscritor em 07/02/2020 (Ev. 93), com procuração a Caroline Vaz e Lígia Luis assinada pela então administradora; renúncia das duas em 01/08/2023 (Ev. 211), reiterada em 22/01/2025 (Ev. 256), nunca processada; retorno do subscritor em 22/01/2025 (Ev. 257) como "sócio gerente e advogado", com o contrato social; apelação em 11/05/2026 (Ev. 280) invocando os instrumentos dos Ev. 21 e 38 — anteriores à revogação. Uma procuração de reforço foi assinada em 08/05/2026 e </w:t>
      </w:r>
      <w:r>
        <w:rPr>
          <w:rFonts w:ascii="Times New Roman" w:cs="Times New Roman" w:eastAsia="Times New Roman" w:hAnsi="Times New Roman"/>
          <w:b/>
          <w:bCs/>
          <w:sz w:val="24"/>
          <w:szCs w:val="24"/>
        </w:rPr>
        <w:t xml:space="preserve">não foi juntada</w:t>
      </w:r>
      <w:r>
        <w:rPr>
          <w:rFonts w:ascii="Times New Roman" w:cs="Times New Roman" w:eastAsia="Times New Roman" w:hAnsi="Times New Roman"/>
          <w:sz w:val="24"/>
          <w:szCs w:val="24"/>
        </w:rPr>
        <w:t xml:space="preserv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Diagnóstico: vício de representação </w:t>
      </w:r>
      <w:r>
        <w:rPr>
          <w:rFonts w:ascii="Times New Roman" w:cs="Times New Roman" w:eastAsia="Times New Roman" w:hAnsi="Times New Roman"/>
          <w:b/>
          <w:bCs/>
          <w:sz w:val="24"/>
          <w:szCs w:val="24"/>
        </w:rPr>
        <w:t xml:space="preserve">sanável</w:t>
      </w:r>
      <w:r>
        <w:rPr>
          <w:rFonts w:ascii="Times New Roman" w:cs="Times New Roman" w:eastAsia="Times New Roman" w:hAnsi="Times New Roman"/>
          <w:sz w:val="24"/>
          <w:szCs w:val="24"/>
        </w:rPr>
        <w:t xml:space="preserve"> (CPC art. 104, §§ 1º e 2º: o ato não ratificado é ineficaz, não inexistente). Se ninguém fizer nada, o relator deve intimar para sanar (CPC art. 76, caput; art. 932, parágrafo único) e, não sanado, não conhecer do recurso (art. 76, § 2º, I). No STJ, a Súmula 115 trata o recurso sem procuração como inexistente — por isso a cadeia tem de ser fechada agora, antes de eventual recurso especial.</w:t>
      </w:r>
    </w:p>
    <w:p>
      <w:pPr>
        <w:pStyle w:val="ListParagraph"/>
        <w:numPr>
          <w:ilvl w:val="0"/>
          <w:numId w:val="2"/>
        </w:numPr>
        <w:spacing w:after="80" w:line="360"/>
        <w:jc w:val="both"/>
      </w:pPr>
      <w:r>
        <w:rPr>
          <w:rFonts w:ascii="Times New Roman" w:cs="Times New Roman" w:eastAsia="Times New Roman" w:hAnsi="Times New Roman"/>
          <w:sz w:val="24"/>
          <w:szCs w:val="24"/>
        </w:rPr>
        <w:t xml:space="preserve">Cura: procuração atual da sociedade, por seu sócio único e administrador isolado (CPC art. 75, VIII; CC art. 1.018), com </w:t>
      </w:r>
      <w:r>
        <w:rPr>
          <w:rFonts w:ascii="Times New Roman" w:cs="Times New Roman" w:eastAsia="Times New Roman" w:hAnsi="Times New Roman"/>
          <w:b/>
          <w:bCs/>
          <w:sz w:val="24"/>
          <w:szCs w:val="24"/>
        </w:rPr>
        <w:t xml:space="preserve">cláusula de ratificação</w:t>
      </w:r>
      <w:r>
        <w:rPr>
          <w:rFonts w:ascii="Times New Roman" w:cs="Times New Roman" w:eastAsia="Times New Roman" w:hAnsi="Times New Roman"/>
          <w:sz w:val="24"/>
          <w:szCs w:val="24"/>
        </w:rPr>
        <w:t xml:space="preserve"> de todos os atos praticados pelo subscritor desde 07/02/2020 — a ratificação retroage à data do ato (CC art. 662, parágrafo único) — acompanhada da Sétima Alteração do contrato social.</w:t>
      </w:r>
    </w:p>
    <w:p>
      <w:pPr>
        <w:pStyle w:val="ListParagraph"/>
        <w:numPr>
          <w:ilvl w:val="0"/>
          <w:numId w:val="2"/>
        </w:numPr>
        <w:spacing w:after="80" w:line="360"/>
        <w:jc w:val="both"/>
      </w:pPr>
      <w:r>
        <w:rPr>
          <w:rFonts w:ascii="Times New Roman" w:cs="Times New Roman" w:eastAsia="Times New Roman" w:hAnsi="Times New Roman"/>
          <w:sz w:val="24"/>
          <w:szCs w:val="24"/>
        </w:rPr>
        <w:t xml:space="preserve">O sócio-advogado pode outorgar a si mesmo: a parte é a pessoa jurídica (não é causa própria); o CC art. 117 ressalva a autorização do representado; o CC art. 1.018 autoriza o administrador a constituir mandatários; os arts. 28 e 30 do Estatuto da Advocacia não incidem.</w:t>
      </w:r>
    </w:p>
    <w:p>
      <w:pPr>
        <w:pStyle w:val="ListParagraph"/>
        <w:numPr>
          <w:ilvl w:val="0"/>
          <w:numId w:val="2"/>
        </w:numPr>
        <w:spacing w:after="80" w:line="360"/>
        <w:jc w:val="both"/>
      </w:pPr>
      <w:r>
        <w:rPr>
          <w:rFonts w:ascii="Times New Roman" w:cs="Times New Roman" w:eastAsia="Times New Roman" w:hAnsi="Times New Roman"/>
          <w:sz w:val="24"/>
          <w:szCs w:val="24"/>
        </w:rPr>
        <w:t xml:space="preserve">Como assinar: pela </w:t>
      </w:r>
      <w:r>
        <w:rPr>
          <w:rFonts w:ascii="Times New Roman" w:cs="Times New Roman" w:eastAsia="Times New Roman" w:hAnsi="Times New Roman"/>
          <w:b/>
          <w:bCs/>
          <w:sz w:val="24"/>
          <w:szCs w:val="24"/>
        </w:rPr>
        <w:t xml:space="preserve">outorgante</w:t>
      </w:r>
      <w:r>
        <w:rPr>
          <w:rFonts w:ascii="Times New Roman" w:cs="Times New Roman" w:eastAsia="Times New Roman" w:hAnsi="Times New Roman"/>
          <w:sz w:val="24"/>
          <w:szCs w:val="24"/>
        </w:rPr>
        <w:t xml:space="preserve"> — certificado e-CNPJ da Antunelli (CPC art. 105, § 1º) ou assinatura de punho digitalizada. O login do advogado no eproc não supre a assinatura da outorgante.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Redação: "em reforço e para que não paire dúvida", com ratificação expressa — sem confessar nulidade. A tese de que o administrador-advogado "presenta" a sociedade e dispensa procuração não tem precedente confirmável e não deve ser usada, nem de passagem.</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Se a procuração de reforço assinada em 08/05/2026 existir, for autêntica e estiver assinada pela sociedade com os requisitos do art. 105, § 2º, do CPC, ela antecede a apelação (11/05/2026) e pode ser juntada como Doc. 2-A, descrita apenas como "instrumento anterior à interposição". Nunca retrodatar nada.</w:t>
      </w:r>
    </w:p>
    <w:p>
      <w:pPr>
        <w:pStyle w:val="ListParagraph"/>
        <w:numPr>
          <w:ilvl w:val="0"/>
          <w:numId w:val="2"/>
        </w:numPr>
        <w:spacing w:after="80" w:line="360"/>
        <w:jc w:val="both"/>
      </w:pPr>
      <w:r>
        <w:rPr>
          <w:rFonts w:ascii="Times New Roman" w:cs="Times New Roman" w:eastAsia="Times New Roman" w:hAnsi="Times New Roman"/>
          <w:sz w:val="24"/>
          <w:szCs w:val="24"/>
        </w:rPr>
        <w:t xml:space="preserve">Antes de fechar a peça, ler o Ev. 18 (20/08) e o Ev. 25 na íntegra: se algum deles já tocou na representação ou fixou prazo para regularizá-la, a peça deve cumprir esse comando de forma direta, no mesmo prazo, mantendo a ratificação.</w:t>
      </w:r>
    </w:p>
    <w:p>
      <w:pPr>
        <w:keepNext/>
        <w:spacing w:after="180" w:before="360" w:line="360"/>
        <w:jc w:val="left"/>
      </w:pPr>
      <w:r>
        <w:rPr>
          <w:rFonts w:ascii="Times New Roman" w:cs="Times New Roman" w:eastAsia="Times New Roman" w:hAnsi="Times New Roman"/>
          <w:b/>
          <w:bCs/>
          <w:sz w:val="24"/>
          <w:szCs w:val="24"/>
        </w:rPr>
        <w:t xml:space="preserve">6. Cadastro do processo — três correções a pedir</w:t>
      </w:r>
    </w:p>
    <w:p>
      <w:pPr>
        <w:spacing w:after="120" w:line="360"/>
        <w:ind w:firstLine="709"/>
        <w:jc w:val="both"/>
      </w:pPr>
      <w:r>
        <w:rPr>
          <w:rFonts w:ascii="Times New Roman" w:cs="Times New Roman" w:eastAsia="Times New Roman" w:hAnsi="Times New Roman"/>
          <w:sz w:val="24"/>
          <w:szCs w:val="24"/>
        </w:rPr>
        <w:t xml:space="preserve">1. Baixa das duas advogadas renunciantes (CPC art. 112) nos dois graus, com comunicação ao juízo de origem (os registros do 1º e do 2º grau são distintos). 2. Intimações exclusivamente em nome do subscritor (CPC art. 272, §§ 2º e 5º) — já pedido em 2018 e 2019 (Ev. 40 e 65/71) e descumprido (publicações em nome de "OAB 14870/MS"; em 2020, publicação em nome de advogado revogado). 3. Razão social "Antunelli e Antunelli Instituição de Idosos Ltda." (não "EIRELI"). O endereço fica como está no registro da JUCESC (n. 1.100) até a regularização societária; as peças indicam o n. 1.003 como estabelecimento.</w:t>
      </w:r>
    </w:p>
    <w:p>
      <w:pPr>
        <w:spacing w:after="120" w:line="360"/>
        <w:ind w:firstLine="709"/>
        <w:jc w:val="both"/>
      </w:pPr>
      <w:r>
        <w:rPr>
          <w:rFonts w:ascii="Times New Roman" w:cs="Times New Roman" w:eastAsia="Times New Roman" w:hAnsi="Times New Roman"/>
          <w:sz w:val="24"/>
          <w:szCs w:val="24"/>
        </w:rPr>
        <w:t xml:space="preserve">Vai em petição separada (sem prazo), protocolada logo depois da principal, para que a procuração nova já esteja nos autos. Não se pede, por ora, certidão das comunicações dirigidas às renunciantes: as nulidades antigas tendem à preclusão (CPC, arts. 272, § 8º, e 278), o pedido exporia o intervalo sem procurador no momento em que se junta a procuração nova, e o próprio eproc mostra os destinatários de cada intimação — basta capturar e guardar essas telas.</w:t>
      </w:r>
    </w:p>
    <w:p>
      <w:pPr>
        <w:keepNext/>
        <w:spacing w:after="180" w:before="360" w:line="360"/>
        <w:jc w:val="left"/>
      </w:pPr>
      <w:r>
        <w:rPr>
          <w:rFonts w:ascii="Times New Roman" w:cs="Times New Roman" w:eastAsia="Times New Roman" w:hAnsi="Times New Roman"/>
          <w:b/>
          <w:bCs/>
          <w:sz w:val="24"/>
          <w:szCs w:val="24"/>
        </w:rPr>
        <w:t xml:space="preserve">7. Peças geradas e ordem de protocolo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Ordem</w:t>
            </w:r>
          </w:p>
        </w:tc>
        <w:tc>
          <w:tcPr>
            <w:tcW w:type="dxa" w:w="2268"/>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Peça</w:t>
            </w:r>
          </w:p>
        </w:tc>
        <w:tc>
          <w:tcPr>
            <w:tcW w:type="dxa" w:w="2268"/>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Documentos</w:t>
            </w:r>
          </w:p>
        </w:tc>
        <w:tc>
          <w:tcPr>
            <w:tcW w:type="dxa" w:w="2268"/>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Prazo</w:t>
            </w:r>
          </w:p>
        </w:tc>
      </w:tr>
      <w:tr>
        <w:tc>
          <w:tcPr>
            <w:tcW w:type="dxa" w:w="22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1</w:t>
            </w:r>
          </w:p>
        </w:tc>
        <w:tc>
          <w:tcPr>
            <w:tcW w:type="dxa" w:w="22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Petição de cumprimento do Ev. 25 — preparo recolhido, desistência da gratuidade, regularização da representação</w:t>
            </w:r>
          </w:p>
        </w:tc>
        <w:tc>
          <w:tcPr>
            <w:tcW w:type="dxa" w:w="22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Doc. 1 guia + comprovante; Doc. 2 procuração; Doc. 3 Sétima Alteração; Doc. 4 print + e-mails</w:t>
            </w:r>
          </w:p>
        </w:tc>
        <w:tc>
          <w:tcPr>
            <w:tcW w:type="dxa" w:w="22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04/09/2026</w:t>
            </w:r>
          </w:p>
        </w:tc>
      </w:tr>
      <w:tr>
        <w:tc>
          <w:tcPr>
            <w:tcW w:type="dxa" w:w="22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2</w:t>
            </w:r>
          </w:p>
        </w:tc>
        <w:tc>
          <w:tcPr>
            <w:tcW w:type="dxa" w:w="22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Procuração ad judicia et extra com cláusula de ratificação (anexo da peça 1)</w:t>
            </w:r>
          </w:p>
        </w:tc>
        <w:tc>
          <w:tcPr>
            <w:tcW w:type="dxa" w:w="22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w:t>
            </w:r>
          </w:p>
        </w:tc>
        <w:tc>
          <w:tcPr>
            <w:tcW w:type="dxa" w:w="22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assinar antes do protocolo</w:t>
            </w:r>
          </w:p>
        </w:tc>
      </w:tr>
      <w:tr>
        <w:tc>
          <w:tcPr>
            <w:tcW w:type="dxa" w:w="22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3</w:t>
            </w:r>
          </w:p>
        </w:tc>
        <w:tc>
          <w:tcPr>
            <w:tcW w:type="dxa" w:w="22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Petição de regularização do cadastro de procuradores, intimação exclusiva e retificação da razão social</w:t>
            </w:r>
          </w:p>
        </w:tc>
        <w:tc>
          <w:tcPr>
            <w:tcW w:type="dxa" w:w="22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refere os Docs. 2 e 3</w:t>
            </w:r>
          </w:p>
        </w:tc>
        <w:tc>
          <w:tcPr>
            <w:tcW w:type="dxa" w:w="22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sem prazo (mesmo dia, de preferência)</w:t>
            </w:r>
          </w:p>
        </w:tc>
      </w:tr>
    </w:tbl>
    <w:p>
      <w:pPr>
        <w:spacing w:after="120"/>
      </w:pPr>
    </w:p>
    <w:p>
      <w:pPr>
        <w:keepNext/>
        <w:spacing w:after="180" w:before="360" w:line="360"/>
        <w:jc w:val="left"/>
      </w:pPr>
      <w:r>
        <w:rPr>
          <w:rFonts w:ascii="Times New Roman" w:cs="Times New Roman" w:eastAsia="Times New Roman" w:hAnsi="Times New Roman"/>
          <w:b/>
          <w:bCs/>
          <w:sz w:val="24"/>
          <w:szCs w:val="24"/>
        </w:rPr>
        <w:t xml:space="preserve">8. O caminho que o processo vai percorrer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1814"/>
        <w:gridCol w:w="1814"/>
        <w:gridCol w:w="1814"/>
      </w:tblGrid>
      <w:tr>
        <w:tc>
          <w:tcPr>
            <w:tcW w:type="dxa" w:w="1814"/>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w:t>
            </w:r>
          </w:p>
        </w:tc>
        <w:tc>
          <w:tcPr>
            <w:tcW w:type="dxa" w:w="1814"/>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Etapa</w:t>
            </w:r>
          </w:p>
        </w:tc>
        <w:tc>
          <w:tcPr>
            <w:tcW w:type="dxa" w:w="1814"/>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Quem</w:t>
            </w:r>
          </w:p>
        </w:tc>
        <w:tc>
          <w:tcPr>
            <w:tcW w:type="dxa" w:w="1814"/>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Prazo/tempo</w:t>
            </w:r>
          </w:p>
        </w:tc>
        <w:tc>
          <w:tcPr>
            <w:tcW w:type="dxa" w:w="1814"/>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O que fazer</w:t>
            </w:r>
          </w:p>
        </w:tc>
      </w:tr>
      <w:tr>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1</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Protocolo da peça 1 (e da peça 3)</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Advogado</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até 04/09/2026</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Conferir aba Custas e Ev. 25 antes; salvar comprovante de protocolo</w:t>
            </w:r>
          </w:p>
        </w:tc>
      </w:tr>
      <w:tr>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2</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Juntada e conclusão ao relator</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Secretaria</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dias</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Vigiar</w:t>
            </w:r>
          </w:p>
        </w:tc>
      </w:tr>
      <w:tr>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3</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Despacho do relator: reconhece o recolhimento; declara prejudicada a gratuidade (Súmula 51); toma ciência da procuração/ratificação</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Relator</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semanas</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Se intimar para sanar algo (CPC 1.007, §§ 2º e 7º; art. 76): 5 dias — responder</w:t>
            </w:r>
          </w:p>
        </w:tc>
      </w:tr>
      <w:tr>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4</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Recurso apto: já há contrarrazões (Ev. 284), parecer da PGJ (Ev. 15) e memoriais (Ev. 17)</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Decidir sobre sustentação</w:t>
            </w:r>
          </w:p>
        </w:tc>
      </w:tr>
      <w:tr>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5</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Inclusão em pauta — sessão presencial, por videoconferência ou totalmente virtual (RITJSC, ER 49/2025)</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Relator/Secretaria</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pauta com 5 dias úteis de antecedência</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Virtual: objeção (art. 142-M) ou sustentação de argumentos em áudio/vídeo (art. 142-Q) até 2 dias úteis antes. Presencial/videoconferência: inscrição para sustentação oral até 2 dias úteis antes (art. 176)</w:t>
            </w:r>
          </w:p>
        </w:tc>
      </w:tr>
      <w:tr>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6</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Julgamento colegiado das duas apelações (Antunelli e Município); se não unânime e houver reforma, técnica do art. 942</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Câmara</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sessão</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w:t>
            </w:r>
          </w:p>
        </w:tc>
      </w:tr>
      <w:tr>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7</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Alternativa: decisão monocrática (CPC art. 932, IV/V)</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Relator</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Agravo interno em 15 dias úteis (RITJSC art. 293, p.ú.)</w:t>
            </w:r>
          </w:p>
        </w:tc>
      </w:tr>
      <w:tr>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8</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Acórdão publicado</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Embargos de declaração em 5 dias úteis (interrompem) — prequestionar teto global, termo inicial das astreintes, calçadas</w:t>
            </w:r>
          </w:p>
        </w:tc>
      </w:tr>
      <w:tr>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9</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Recurso especial/extraordinário</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Parte vencida</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15 dias úteis (MP em dobro: 30)</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Admissibilidade pelo 2º Vice-Presidente (direito público); travas: Súmula 7/STJ; Tema 1442/STJ (astreintes vencidas, com suspensão)</w:t>
            </w:r>
          </w:p>
        </w:tc>
      </w:tr>
      <w:tr>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10</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Trânsito em julgado e baixa</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w:t>
            </w:r>
          </w:p>
        </w:tc>
      </w:tr>
      <w:tr>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11</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Cumprimento de sentença no 1º grau (se mantida)</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MP/Juízo</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prazos das obrigações passam a correr da intimação</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Astreintes exigem intimação pessoal prévia (Tema 1296/STJ, Súmula 410)</w:t>
            </w:r>
          </w:p>
        </w:tc>
      </w:tr>
    </w:tbl>
    <w:p>
      <w:pPr>
        <w:spacing w:after="120"/>
      </w:pPr>
    </w:p>
    <w:p>
      <w:pPr>
        <w:spacing w:after="120" w:line="360"/>
        <w:ind w:firstLine="709"/>
        <w:jc w:val="both"/>
      </w:pPr>
      <w:r>
        <w:rPr>
          <w:rFonts w:ascii="Times New Roman" w:cs="Times New Roman" w:eastAsia="Times New Roman" w:hAnsi="Times New Roman"/>
          <w:sz w:val="24"/>
          <w:szCs w:val="24"/>
        </w:rPr>
        <w:t xml:space="preserve">Ramificações de risco:</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Relator considera insuficiente ou irregular a comprovação</w:t>
      </w:r>
      <w:r>
        <w:rPr>
          <w:rFonts w:ascii="Times New Roman" w:cs="Times New Roman" w:eastAsia="Times New Roman" w:hAnsi="Times New Roman"/>
          <w:sz w:val="24"/>
          <w:szCs w:val="24"/>
        </w:rPr>
        <w:t xml:space="preserve"> (probabilidade baixa): intimação para sanar em 5 dias (CPC art. 1.007, §§ 2º e 7º). Responder com extrato da guia "paga" e, se for o caso, complementar.</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Relator declara prejudicada a gratuidade</w:t>
      </w:r>
      <w:r>
        <w:rPr>
          <w:rFonts w:ascii="Times New Roman" w:cs="Times New Roman" w:eastAsia="Times New Roman" w:hAnsi="Times New Roman"/>
          <w:sz w:val="24"/>
          <w:szCs w:val="24"/>
        </w:rPr>
        <w:t xml:space="preserve"> (probabilidade alta): é o efeito desejado; nada a fazer.</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Relator questiona a representação</w:t>
      </w:r>
      <w:r>
        <w:rPr>
          <w:rFonts w:ascii="Times New Roman" w:cs="Times New Roman" w:eastAsia="Times New Roman" w:hAnsi="Times New Roman"/>
          <w:sz w:val="24"/>
          <w:szCs w:val="24"/>
        </w:rPr>
        <w:t xml:space="preserve"> (probabilidade baixa, porque a peça já a regulariza): responder com a cadeia e a ratificação; se necessário, nova procuração com firma reconhecida.</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Desprovimento da apelação</w:t>
      </w:r>
      <w:r>
        <w:rPr>
          <w:rFonts w:ascii="Times New Roman" w:cs="Times New Roman" w:eastAsia="Times New Roman" w:hAnsi="Times New Roman"/>
          <w:sz w:val="24"/>
          <w:szCs w:val="24"/>
        </w:rPr>
        <w:t xml:space="preserve">: os prazos das 65 obrigações voltam a correr após o trânsito e a intimação; as astreintes dependem de intimação pessoal prévia. Preparar embargos de declaração e o recurso especial com prequestionamento.</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Provimento parcial</w:t>
      </w:r>
      <w:r>
        <w:rPr>
          <w:rFonts w:ascii="Times New Roman" w:cs="Times New Roman" w:eastAsia="Times New Roman" w:hAnsi="Times New Roman"/>
          <w:sz w:val="24"/>
          <w:szCs w:val="24"/>
        </w:rPr>
        <w:t xml:space="preserve"> (por exemplo, extinção das obrigações sanitárias já cumpridas, teto global expresso, calçadas): reduz a exposição; o MP pode recorrer (ED em 10 dias, REsp em 30 dias úteis).</w:t>
      </w:r>
    </w:p>
    <w:p>
      <w:pPr>
        <w:keepNext/>
        <w:spacing w:after="180" w:before="360" w:line="360"/>
        <w:jc w:val="left"/>
      </w:pPr>
      <w:r>
        <w:rPr>
          <w:rFonts w:ascii="Times New Roman" w:cs="Times New Roman" w:eastAsia="Times New Roman" w:hAnsi="Times New Roman"/>
          <w:b/>
          <w:bCs/>
          <w:sz w:val="24"/>
          <w:szCs w:val="24"/>
        </w:rPr>
        <w:t xml:space="preserve">9. Riscos e mitigação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Risco</w:t>
            </w:r>
          </w:p>
        </w:tc>
        <w:tc>
          <w:tcPr>
            <w:tcW w:type="dxa" w:w="3024"/>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Gravidade</w:t>
            </w:r>
          </w:p>
        </w:tc>
        <w:tc>
          <w:tcPr>
            <w:tcW w:type="dxa" w:w="3024"/>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Mitigação</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Comprovante não identifica a guia/processo</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alta</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Juntar guia + comprovante + extrato da aba Custas</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Boleto não compensado quando o relator olhar</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média</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Peça informa o meio de pagamento; comprovante bancário com autenticação</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Peça lida como renovação de gratuidade (Súmula 51)</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alta</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Desistência expressa e pedido de declaração de prejudicialidade; nenhum pedido subsidiário de gratuidade</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Exigência de recolhimento em dobro</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baixa</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Frase sobre o art. 99, § 7º, e o prazo fixado pelo relator para recolhimento singular</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Não conhecimento por vício de representação</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alta se nada for feito; baixa após a juntada</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Procuração com ratificação + contrato social; assinatura pela outorgante</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Publicações em nome das renunciantes / OAB errada</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média</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Peça 3: baixa das renunciantes e intimação exclusiva</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Perder o prazo de objeção/sustentação quando sair a pauta</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média</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Vigilância diária do DJEN e do painel; decidir agora sobre sustentação</w:t>
            </w:r>
          </w:p>
        </w:tc>
      </w:tr>
    </w:tbl>
    <w:p>
      <w:pPr>
        <w:spacing w:after="120"/>
      </w:pPr>
    </w:p>
    <w:p>
      <w:pPr>
        <w:keepNext/>
        <w:spacing w:after="180" w:before="360" w:line="360"/>
        <w:jc w:val="left"/>
      </w:pPr>
      <w:r>
        <w:rPr>
          <w:rFonts w:ascii="Times New Roman" w:cs="Times New Roman" w:eastAsia="Times New Roman" w:hAnsi="Times New Roman"/>
          <w:b/>
          <w:bCs/>
          <w:sz w:val="24"/>
          <w:szCs w:val="24"/>
        </w:rPr>
        <w:t xml:space="preserve">10. Pendências que só o advogado resolve</w:t>
      </w:r>
    </w:p>
    <w:p>
      <w:pPr>
        <w:spacing w:after="120" w:line="360"/>
        <w:ind w:firstLine="709"/>
        <w:jc w:val="both"/>
      </w:pPr>
      <w:r>
        <w:rPr>
          <w:rFonts w:ascii="Times New Roman" w:cs="Times New Roman" w:eastAsia="Times New Roman" w:hAnsi="Times New Roman"/>
          <w:sz w:val="24"/>
          <w:szCs w:val="24"/>
        </w:rPr>
        <w:t xml:space="preserve">1. Conferir no eproc o teor integral do Ev. 25 e ajustar a transcrição da peça se houver diferença. 2. Conferir a aba Custas (guia paga/baixada) e montar o Doc. 1. 3. Assinar a procuração pela Antunelli (e-CNPJ ou punho digitalizado). 4. Rodar o gate local de citações (Planalto em disco) — os sites oficiais estavam bloqueados para esta sessão. 5. Ajustar a data das três peças para a data do protocolo, se não for 02/09 (a peça 03 se reporta à principal como "protocolada nesta data"), e remover as marcações [CONFERIR ...] após cada conferência. 6. Decidir sobre sustentação oral / sustentação de argumentos / objeção ao virtual.</w:t>
      </w:r>
    </w:p>
    <w:p>
      <w:pPr>
        <w:keepNext/>
        <w:spacing w:after="180" w:before="360" w:line="360"/>
        <w:jc w:val="left"/>
      </w:pPr>
      <w:r>
        <w:rPr>
          <w:rFonts w:ascii="Times New Roman" w:cs="Times New Roman" w:eastAsia="Times New Roman" w:hAnsi="Times New Roman"/>
          <w:b/>
          <w:bCs/>
          <w:sz w:val="24"/>
          <w:szCs w:val="24"/>
        </w:rPr>
        <w:t xml:space="preserve">11. Fontes desta auditoria e limites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E-mails de 02/09/2026 entre o advogado e a Seção de Custas Judiciais do TJSC (dcdp.custas@tjsc.jus.br); notas do escritório (pareceres de 16/08, 27/08, 28/08, 31/08 e 02/09/2026; árvore do 2º grau lida na tela do eproc em 31/08/2026); contrarrazões do MP (Ev. 284); checklist de protocolo da apelação (05/2026); textos da Súmula 51/TJSC, da Resolução CM n. 3/2019 e da Circular CGJ n. 643/2025 confirmados por busca na web.</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Não foi possível acessar</w:t>
      </w:r>
      <w:r>
        <w:rPr>
          <w:rFonts w:ascii="Times New Roman" w:cs="Times New Roman" w:eastAsia="Times New Roman" w:hAnsi="Times New Roman"/>
          <w:sz w:val="24"/>
          <w:szCs w:val="24"/>
        </w:rPr>
        <w:t xml:space="preserve"> o eproc (bloqueio de rede da sessão): não foram lidos hoje os Ev. 18, 23, 25 (íntegra), 31 e 32, nem a guia e o comprovante. Tudo o que depende desses documentos está marcado como "conferir no eproc".</w:t>
      </w:r>
    </w:p>
    <w:p>
      <w:pPr>
        <w:keepNext/>
        <w:spacing w:after="180" w:before="360" w:line="360"/>
        <w:jc w:val="left"/>
      </w:pPr>
      <w:r>
        <w:rPr>
          <w:rFonts w:ascii="Times New Roman" w:cs="Times New Roman" w:eastAsia="Times New Roman" w:hAnsi="Times New Roman"/>
          <w:b/>
          <w:bCs/>
          <w:sz w:val="24"/>
          <w:szCs w:val="24"/>
        </w:rPr>
        <w:t xml:space="preserve">Apêndice A — Caminho processual detalhado (laudo do agente de processamento recursal)</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96"/>
        <w:gridCol w:w="1296"/>
        <w:gridCol w:w="1296"/>
        <w:gridCol w:w="1296"/>
        <w:gridCol w:w="1296"/>
        <w:gridCol w:w="1296"/>
        <w:gridCol w:w="1296"/>
      </w:tblGrid>
      <w:tr>
        <w:tc>
          <w:tcPr>
            <w:tcW w:type="dxa" w:w="129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w:t>
            </w:r>
          </w:p>
        </w:tc>
        <w:tc>
          <w:tcPr>
            <w:tcW w:type="dxa" w:w="129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Etapa</w:t>
            </w:r>
          </w:p>
        </w:tc>
        <w:tc>
          <w:tcPr>
            <w:tcW w:type="dxa" w:w="129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Quem</w:t>
            </w:r>
          </w:p>
        </w:tc>
        <w:tc>
          <w:tcPr>
            <w:tcW w:type="dxa" w:w="129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Prazo</w:t>
            </w:r>
          </w:p>
        </w:tc>
        <w:tc>
          <w:tcPr>
            <w:tcW w:type="dxa" w:w="129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Base legal</w:t>
            </w:r>
          </w:p>
        </w:tc>
        <w:tc>
          <w:tcPr>
            <w:tcW w:type="dxa" w:w="129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Risco</w:t>
            </w:r>
          </w:p>
        </w:tc>
        <w:tc>
          <w:tcPr>
            <w:tcW w:type="dxa" w:w="129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O que fazer</w:t>
            </w:r>
          </w:p>
        </w:tc>
      </w:tr>
      <w:tr>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1</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Protocolo da petição de cumprimento do Ev. 25 (peça principal) com Doc. 1 (guia Ev. 31 + comprovante de pagamento de 02/09/2026), Doc. 2 (procuração com cláusula de ratificação retroativa, assinada pela outorgante por e-CNPJ ou punho digitalizado), Doc. 3 (Sétima Alteração do Contrato Social, JUCESC 08/06/2021) e Doc. 4 (print da tela 'Custas' tarjada e e-mails com a Seção de Custas de 02/09/2026).</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Advogado da apelante (Gabriel, OAB/SC 53.040), no eproc 2º grau.</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Até 04/09/2026 (sexta) 23h59min59s (Ev. 27). Recomendado: protocolar hoje, 02/09, ou 03/09, com margem para indisponibilidade do sistema (CPC 224, §1º, só socorre se a indisponibilidade for certificada).</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CPC 1.007, caput e §§2º, 6º e 7º; CPC 99, §7º (pedido de gratuidade no recurso dispensa o preparo até decisão); CPC 219 e 224, §§2º e 3º; CPC 104, §§1º e 2º, e 105 (procuração); CC 662, p.ú. (ratificação retroage); CPC 75, VIII (representação da PJ); Súmula 481/STJ; Súmula 51/TJSC.</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(i) Protocolo após 23h59min59s → deserção. (ii) Renovar pedido de gratuidade → Súmula 51/TJSC aplicada contra a apelante e discussão inútil. (iii) Confessar nulidade da representação → convite ao não conhecimento (CPC 76, §2º, I). (iv) Procuração 'assinada' só pelo login do advogado autentica o outorgado, não a outorgante. (v) Comprovante de boleto sem compensação bancária.</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Pedir somente: (a) o recebimento do preparo e a declaração de regularidade; (b) a homologação da desistência expressa do pedido de gratuidade formulado nas razões (Ev. 280/281), para que fique prejudicado; (c) a juntada da procuração 'em reforço e para que não paire dúvida', com ratificação expressa de todos os atos desde 07/02/2020, sem afirmar nulidade. Registrar, sem pedir nada, o contexto de justo impedimento (Ev. 293/1º grau, Ev. 3-4, 22, 23, 31 e 32 do 2º grau). Guardar o recibo de protocolo (evento provável: Ev. 33) e conferir no eproc que o prazo do Ev. 27 passou a 'FECHADO'.</w:t>
            </w:r>
          </w:p>
        </w:tc>
      </w:tr>
      <w:tr>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2</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Peça autônoma, sem prazo: desabilitação das renunciantes (Caroline Vaz, OAB/SC 54.142; Lígia Luis, OAB/SC 53.624) nos dois graus, intimação exclusiva em nome de Gabriel, retificação do cadastro ('EIRELI' → 'Ltda.'; endereço n. 1.003) e certidão das comunicações dirigidas às renunciantes desde 01/08/2023.</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Advogado da apelante.</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Sem prazo legal. Sugerido: mesmo dia do protocolo principal ou até 08/09/2026 (terça, 1º dia útil após 07/09, feriado), para que o despacho do relator já saia com o cadastro correto.</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CPC 112 (renúncia; Ev. 211 e 256); CPC 272, §§2º, 5º e 8º (intimação exclusiva e ressalva de nulidade); CPC 76 (regularização). Registros distintos: 156966604326 (2º grau) e 409609497820 (ACP).</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Se misturada à peça principal, dilui o pedido do preparo e cria pretexto para o gabinete 'esclarecer' a representação. Se não feita, publicações continuam saindo em nome de advogadas renunciantes (histórico dos Ev. 90/97 em 2020: decurso em branco).</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Protocolar em separado. Não arguir nulidade agora (CPC 272, §8º). Pedir comunicação ao juízo de origem para a mesma baixa no 1º grau.</w:t>
            </w:r>
          </w:p>
        </w:tc>
      </w:tr>
      <w:tr>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3</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Compensação e vinculação do pagamento: a guia ID 51010131 (R$ 720,00) deve aparecer como paga na aba 'Custas'/'Guias' do eproc, com baixa pela Seção de Custas Judiciais (DCDP).</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Rede bancária e Seção de Custas Judiciais (DCDP/TJSC).</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Cartão: confirmação em minutos/horas. Boleto: compensação em 1 a 3 dias úteis [CONFERIR: meio de pagamento usado e situação da guia no eproc]. A data de vencimento do boleto não altera a contagem do prazo processual (Resolução CM n. 3/2019, art. 1º, §4º, conforme e-mail da DCDP de 02/09/2026) [CONFERIR TEXTO].</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CPC 1.007, caput (comprovação do recolhimento no ato); Lei estadual (SC) 17.654/2018, Anexo Único, item 2 (valor 2026 pela Circular CGJ 643/2025); Resolução CM n. 3/2019 [CONFERIR TEXTO].</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Guia 'em aberto' quando os autos subirem ao gabinete → certidão de 'não localizado recolhimento' → intimação para sanar ou, no pior cenário, decreto de deserção. Divergência de valor entre a guia de 02/09 (R$ 720,00) e as guias tarjadas de maio (R$ 724,33 e R$ 724,18) pode ser lida como 'insuficiência' [CONFERIR: composição do valor].</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Conferir a situação da guia em 03/09, 04/09 e 08/09. Se ainda em aberto em 08/09, e-mail à DCDP (48 3287-1726 / dcdp.custas@tjsc.jus.br) e petição juntando extrato bancário com autenticação. Guardar o e-mail de 10h52 de 02/09 (Reginaldo Knevitz) como prova de que a guia foi gerada pelo próprio Tribunal no valor de R$ 720,00.</w:t>
            </w:r>
          </w:p>
        </w:tc>
      </w:tr>
      <w:tr>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4</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Certificação do cumprimento do prazo do Ev. 27 e conclusão dos autos ao relator (2ª CDP → Gab. 03), eventualmente após remessa interna à DCDP para certidão de custas (padrão já visto nos Ev. 5-9).</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Secretaria da 2ª Câmara de Direito Público e DCDP.</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Prazo impróprio. Padrão do próprio processo: 1 a 10 dias (Ev. 15→16: mesmo dia; Ev. 17→18: 6 dias). Estimativa: conclusão entre 08/09 e 18/09/2026.</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CPC 228 (serventuário remete os autos conclusos em 1 dia, prazo impróprio); CPC 152, IV; RITJSC (atos ordinatórios da Secretaria).</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Conclusão sem certidão de custas atualizada; despacho baseado em tela desatualizada.</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Monitorar diariamente o eproc. Nada a peticionar, salvo se a certidão vier errada (aí, petição imediata com o extrato da guia paga).</w:t>
            </w:r>
          </w:p>
        </w:tc>
      </w:tr>
      <w:tr>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5</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Despacho do relator sobre o preparo e sobre o pedido de gratuidade: reconhece o recolhimento tempestivo, declara prejudicado (ou homologa a desistência do) pedido de gratuidade das razões (Súmula 51/TJSC), tem o recurso por apto e ordena a inclusão em pauta — idealmente sem nada dizer sobre a procuração de reforço.</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Des. Carlos Adilson Silva (Gab. 03).</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Prazo impróprio (CPC 226, II: 10 dias para interlocutórias). Estimativa: setembro/outubro de 2026.</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CPC 1.007, caput e §§2º, 6º e 7º; CPC 99, §7º; Súmula 51/TJSC; CPC 932, p.ú. (5 dias para sanar vício); CPC 76 (representação).</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Ramificações (a), (b) e (c). Também: relator entender aplicável o recolhimento em dobro (CPC 1.007, §4º) — tese fraca, porque o §4º pressupõe quem nada recolheu e nada requereu; aqui houve requerimento (99, §7º) e prazo judicial para recolhimento simples.</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Ler o despacho no dia da disponibilização. Se vier intimação para sanar (5 dias úteis, CPC 932, p.ú.), cumprir no 1º ou 2º dia. Se declarar prejudicada a gratuidade, não embargar: é o efeito desejado.</w:t>
            </w:r>
          </w:p>
        </w:tc>
      </w:tr>
      <w:tr>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6</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Publicação do despacho no DJEN e intimações eletrônicas (MP e Município intimados pelo sistema).</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Secretaria da 2ª CDP / DJEN.</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Disponibilização em D; publicação no 1º dia útil seguinte; prazo começa no dia útil subsequente (padrão do Ev. 28/29: disponibilizado 27/08, publicado 28/08, início 31/08).</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CPC 224, §§2º e 3º; Lei 11.419/2006, art. 4º, §§3º e 4º; CPC 272 (publicação em nome do advogado).</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Publicação em nome das renunciantes ou de advogado revogado (repetição dos Ev. 90/97 de 2020) → perda de prazo por falha de intimação.</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Vigia diária do DJEN pela OAB 53.040 e do painel do eproc; salvar PDF de cada publicação com a data. A etapa 2 (intimação exclusiva) previne o risco.</w:t>
            </w:r>
          </w:p>
        </w:tc>
      </w:tr>
      <w:tr>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7</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Eventual manifestação do Ministério Público (PGJ, 7ª Procuradoria de Justiça Cível) sobre o recolhimento do preparo e a procuração de reforço — por vista aberta pelo relator ou por iniciativa própria.</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PGJ (Procuradora Thais Cristina Scheffer) — atua como parte (autor da ACP), não como custos legis.</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Se o relator abrir vista de 5 dias, o MP tem 10 dias úteis (CPC 180). Se a Antunelli for intimada a replicar, 5 dias úteis (CPC 218, §3º).</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CPC 180; CPC 1.007, §§2º, 4º e 7º; CPC 104, §2º (ato não ratificado é ineficaz, não inexistente); CC 662, p.ú.</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MP suscitar deserção (recolhimento em dobro ou 'intempestividade da comprovação') ou inexistência da apelação por falta de procuração vigente na data de 11/05/2026. O parecer do Ev. 15 já condicionou o conhecimento 'ao recolhimento do preparo', o que, satisfeito, esvazia a objeção.</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Só responder se houver vista. Resposta curta: (i) prazo fixado pelo relator para recolhimento simples; (ii) requerimento de gratuidade nas razões (99, §7º) afasta o §4º do 1.007; (iii) justo impedimento sistêmico documentado (Doc. 4); (iv) ratificação retroage à data do ato (CC 662, p.ú.; CPC 104, §2º). Nunca admitir vício.</w:t>
            </w:r>
          </w:p>
        </w:tc>
      </w:tr>
      <w:tr>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8</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Juízo de admissibilidade das duas apelações (análise preliminar pelo relator; juízo definitivo pelo colegiado no julgamento). Antunelli: tempestividade (11/05/2026, prazo até 15/05 — ok), preparo (ok após o recolhimento), regularidade formal e da representação, interesse (Súmula 51 alcança só 'o ponto' da gratuidade), dialeticidade. Município: isento de preparo (CPC 1.007, §1º), prazo em dobro (CPC 183); a própria peça diz que o prazo 'encerra-se em 08 de junho' e foi protocolada em 12/06/2026 — contada da intimação pessoal eletrônica confirmada em 30/04/2026 (Ev. 279), vence em 15/06 e é tempestiva [CONFERIR NO EPROC: termo inicial concretamente aplicado].</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Relator e 2ª Câmara de Direito Público.</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No despacho da etapa 5 (preliminar) e na sessão de julgamento (definitivo).</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CPC 1.010, §3º (sem juízo de admissibilidade no 1º grau); CPC 932, III; CPC 1.003, §5º; CPC 1.007; CPC 1.010, II e III (dialeticidade); CPC 183; Súmula 51/TJSC.</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Não conhecimento por dialeticidade — há precedente da própria 2ª CDP, anotado na análise de 16/08/2026 (§6.10), de não conhecimento de recurso que repetia a contestação [CONFERIR: número do acórdão antes de citar]. Não conhecimento parcial da apelação do Município (a PGJ pediu 'parcial conhecimento').</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Nada a protocolar. Ter pronta, para a sustentação, a demonstração de que a apelação enfrentou a sentença capítulo a capítulo (cerceamento; incoerência interna; erro fático; astreintes; NBR 9050/calçadas; proporcionalidade). Decidir se suscita, na tribuna, a dúvida de tempestividade do recurso do Município — cuidado: os itens 'c' e 'd' daquele recurso aproveitam à Antunelli.</w:t>
            </w:r>
          </w:p>
        </w:tc>
      </w:tr>
      <w:tr>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9</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Escolha do relator entre decisão monocrática (CPC 932, III, IV ou V) e submissão ao colegiado.</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Relator.</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Junto com a etapa 5 ou logo após.</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CPC 932, III (não conhecimento), IV e V (desprovimento/provimento por súmula, repetitivo ou IAC); CPC 1.021 (agravo interno, 15 dias úteis); RITJSC 293, p.ú. (agravo interno sem preparo).</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Ramificação (d). O rol do 932, IV/V, é taxativo (não há súmula ou repetitivo que resolva o mérito destas apelações), mas a prática de 'jurisprudência dominante' existe.</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Se monocrática: agravo interno em 15 dias úteis, atacando especificamente cada fundamento (CPC 1.021, §1º), pedindo retratação (§2º) e julgamento colegiado; atenção à multa de 1% a 5% se unanimemente inadmissível ou improcedente (§4º). O acórdão do agravo interno é o que exaure a instância para REsp/RE.</w:t>
            </w:r>
          </w:p>
        </w:tc>
      </w:tr>
      <w:tr>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10</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Inclusão em pauta e publicação da pauta (sessão presencial física, por videoconferência ou totalmente virtual — a critério do relator).</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Relator e Secretaria da 2ª CDP.</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Publicação com pelo menos 5 dias úteis de antecedência (CPC 935; RITJSC 142-L, §1º). Exemplo: pauta publicada em 11/09 (sex) → sessão não antes de 21/09 (seg); sessão marcada para 22/09 (ter) → objeção/sustentação de argumentos/inscrição até 18/09 (sex) [CONFERIR a contagem regimental de '2 dias úteis antes'].</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CPC 934 e 935; RITJSC 142-K, §1º (virtual como opção do relator), 142-L, §1º (ER 49/2025, vigente desde 29/07/2025).</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Pauta publicada apenas no DJEN, sem intimação dirigida; sessão virtual como padrão; janela de 2 dias úteis perdida.</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Vigia diária do DJEN e do painel 'intimação de pauta'. Os memoriais (Ev. 17) já pediram intimação da pauta e preferência. Ao sair a pauta: contar imediatamente o dia-limite (2 dias úteis antes) e decidir em 24h entre objeção, sustentação de argumentos ou inscrição.</w:t>
            </w:r>
          </w:p>
        </w:tc>
      </w:tr>
      <w:tr>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11</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Se a sessão for TOTALMENTE VIRTUAL: (i) objeção ao julgamento virtual, por petição ao relator, sem necessidade de motivar; (ii) ou sustentação de argumentos por arquivo de áudio ou áudio e vídeo; (iii) não há inscrição para sustentação oral no virtual (o art. 176 só rege sessões presenciais e por videoconferência); (iv) objetado o virtual, o julgamento recomeça em sessão presencial/videoconferência e só então cabe inscrição pelo art. 176; (v) segundo notícia do portal do TJSC, pedido de preferência tempestivo de advogado que deseje sustentar retira o feito da pauta virtual (142-M, II) [CONFERIR TEXTO]; (vi) votação encerrada em até 6 dias úteis do início da sessão.</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Advogado (decisão do Gabriel); relator (processamento).</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Objeção (142-M, §1º) e sustentação de argumentos (142-Q): até 2 dias úteis antes do início da sessão. Intempestivos não são admitidos (142-M, §4º). Votação: até 6 dias úteis (142-N, §1º).</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RITJSC 142-K a 142-Q (ER 49/2025); RITJSC 176, caput; CPC 937.</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Perder a janela de 2 dias úteis. Objetar adia o julgamento (mantém a suspensão ex lege, mas prolonga a incerteza sobre o termo inicial dos prazos). Sustentação de argumentos gravada não permite réplica ao voto.</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Decidir previamente (hoje) a estratégia: se quiser tribuna, objetar E, após a nova inclusão, inscrever-se pelo art. 176 (a objeção sozinha não garante a fala). Se preferir rapidez, enviar sustentação de argumentos (áudio/vídeo) focada em: Súmula 51 só prejudica o ponto da gratuidade; efeito suspensivo e termo inicial; Tema 1296; teto global confessado (Ev. 284); alvará e atestado CBMSC (vigente até 23/04/2027); AI 5051465-51.2022.8.24.0000 do próprio relator.</w:t>
            </w:r>
          </w:p>
        </w:tc>
      </w:tr>
      <w:tr>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12</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Se a sessão for PRESENCIAL ou por VIDEOCONFERÊNCIA: inscrição para sustentação oral pelo sistema; sustentação de 15 minutos por recorrente (Antunelli e Município), seguida do MP como apelado.</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Advogado (inscrição e fala); Presidente da Câmara (ordem).</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Inscrição até 2 dias úteis antes da sessão, exclusivamente pelo sistema (RITJSC 176, caput).</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RITJSC 176; CPC 937, I (15 minutos na apelação) e 937, §1º/§3º [CONFERIR: ordem de fala quando há dois apelantes e o MP é parte apelada].</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Inscrição fora do sistema ou fora do prazo não é admitida (142-M, §4º; 176). Pedido de vista após a sustentação (CPC 940).</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Inscrever-se no 1º dia após a publicação da pauta. Roteiro de 15 minutos com um argumento por bloco; não repetir a apelação (dialeticidade); pedir expressamente a fixação do termo inicial dos prazos e do teto global no acórdão.</w:t>
            </w:r>
          </w:p>
        </w:tc>
      </w:tr>
      <w:tr>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13</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Sessão de julgamento: julgamento conjunto das apelações da Antunelli e do Município no mesmo acórdão. Ordem: preliminares (não conhecimento do ponto da gratuidade — Súmula 51; tempestividade/interesse do recurso do Município; cerceamento de defesa) → mérito (obrigações, prazos, astreintes, calçadas, responsabilidade do Município). Possível pedido de vista.</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2ª Câmara de Direito Público (relator + 2 vogais; quórum de 3, CPC 941, §2º).</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Na sessão. Pedido de vista: 10 dias, prorrogáveis por 10, com retorno na sessão seguinte ao fim do prazo (CPC 940, caput e §1º).</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CPC 938, 939, 940, 941; RITJSC (ordem dos trabalhos).</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Acolhimento do pedido 'b' do Município (ilegitimidade → tudo recai sobre a ré) e do pedido 'd' (calçadas exclusivamente da Antunelli), sem que a Antunelli tenha contrarrazoado (Ev. 290 intimou só o MP). Votação por capítulos com divergência parcial (aciona o art. 942).</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Presença na sessão (presencial/videoconferência). Anotar o resultado capítulo a capítulo e a votação de cada um — insumo para o 942, para os ED e para o REsp.</w:t>
            </w:r>
          </w:p>
        </w:tc>
      </w:tr>
      <w:tr>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14</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Técnica do art. 942 do CPC: se o resultado não for unânime em qualquer capítulo, o julgamento prossegue com convocação de julgadores em número suficiente para inversão (mínimo 5 votantes), preferencialmente na mesma sessão; se em sessão posterior, nova publicação e direito de sustentar oralmente perante os novos julgadores. A técnica alcança também divergência parcial.</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2ª CDP + desembargadores convocados na forma do RITJSC.</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Mesma sessão ou sessão designada (nova pauta com 5 dias úteis; inscrição 2 dias úteis antes).</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CPC 942, caput e §§1º e 2º [CONFERIR: como o RITJSC operacionaliza o 942 em sessão virtual].</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Prolonga o julgamento em 1 a 2 sessões; pode reverter capítulo favorável ou desfavorável. Não há acórdão (nem prazo recursal) antes de concluído o 942.</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Se houver convocação para sessão posterior: nova inscrição (RITJSC 176) e fala reformulada a partir do voto divergente. Se o voto vencido for favorável, explorá-lo nos ED e no REsp (fundamento e prequestionamento).</w:t>
            </w:r>
          </w:p>
        </w:tc>
      </w:tr>
      <w:tr>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15</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Proclamação do resultado, lavratura, assinatura e publicação do acórdão (ementa e votos), com intimação das partes pelo DJEN e pelo sistema.</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Relator (ou redator designado se vencido) e Secretaria.</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Prazo impróprio; se o acórdão não for publicado em 30 dias da sessão, as notas taquigráficas o substituem (CPC 944) [CONFERIR: prazo regimental de lavratura]. Estimativa: 10 a 30 dias após a sessão.</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CPC 941, 943 e 944; CPC 1.008 (o acórdão substitui a sentença no que impugnado).</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Acórdão silente sobre o termo inicial dos prazos das obrigações, sobre o teto GLOBAL de R$ 200 mil e sobre as obrigações já cumpridas — omissões que, não embargadas, comprometem o prequestionamento e o cumprimento de sentença.</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Ler a íntegra no dia. Checklist de omissões/contradições/obscuridades. Acionar a minuta pré-armada de ED (item A7 da análise de 16/08).</w:t>
            </w:r>
          </w:p>
        </w:tc>
      </w:tr>
      <w:tr>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16</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Embargos de declaração contra o acórdão — da Antunelli, do Município e/ou do MP. Interrompem o prazo dos demais recursos para todas as partes. Se houver efeito modificativo, o embargado é intimado para 5 dias. Julgamento pelo colegiado em mesa na sessão seguinte ou em pauta; sem sustentação oral. Prequestionamento ficto dos pontos suscitados.</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Partes (ED); relator e 2ª CDP (julgamento).</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Antunelli: 5 dias úteis da publicação (CPC 1.023). MP: 10 dias úteis (CPC 180). Município: 10 dias úteis (CPC 183). Contraditório se efeito infringente: 5 dias (1.023, §2º).</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CPC 1.022, 1.023, 1.024, §1º, 1.025, 1.026, caput e §2º (multa até 2% se protelatórios).</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ED tidos por protelatórios (multa); ED do MP com efeito infringente para agravar (se houver provimento parcial); perda do prequestionamento se não embargar cada omissão.</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ED cirúrgicos: (i) termo inicial dos prazos de 60/90/120 dias — trânsito e intimação pessoal (Tema 1296; CPC 1.012; 537, §4º); (ii) teto global de R$ 200 mil (confissão do MP, Ev. 284); (iii) obrigações já cumpridas (CPC 487, III); (iv) calçadas como bem público; (v) contradições internas. Prequestionar expressamente os dispositivos federais (CPC 9, 10, 489, §1º, 537, §§1º e 4º, 1.012) e constitucionais (CF 5º, LIV e LV; 30, VIII; 182) que sustentarão REsp e RE.</w:t>
            </w:r>
          </w:p>
        </w:tc>
      </w:tr>
      <w:tr>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17</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Publicação do acórdão dos ED → interposição de REsp e/ou RE (simultâneos), perante o 2º Vice-Presidente do TJSC, com preparo (custas do STJ por GRU; custas do STF) comprovado na origem no ato da interposição — autos eletrônicos dispensam porte de remessa e retorno. Procuração nova indispensável (a apelação foi assinada com base nos Ev. 21/38, anteriores à revogação do Ev. 93).</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Antunelli (e, se houver interesse, MP e Município).</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Antunelli: 15 dias úteis (CPC 1.003, §5º). MP: 30 dias úteis (CPC 180). Município: 30 dias úteis (CPC 183).</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CPC 1.029, 1.031, 1.035, §2º (preliminar de repercussão geral), 1.007 (preparo); Súmula 187/STJ (deserção do REsp por falta de recolhimento na origem — em eletrônicos, atenção às custas, não ao porte); Súmula 115/STJ (recurso por advogado sem procuração nos autos é inexistente na instância especial); Súmula 7/STJ; Tema 1442/STJ.</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Súmula 7 (reexame de prova) — as nulidades devem ser postas como violação de norma processual (CPC 9, 10, 239, 272, §§2º e 5º, 355, I, 357, 489, §1º, IV, 493, p.ú.), não como discordância sobre a prova. Tema 1442: REsp que discuta modificação de multa VENCIDA fica sobrestado sine die (CPC 1.030, III). Falta de prequestionamento. Preparo integral sem gratuidade (Súmula 51 já consumida). Sem efeito suspensivo automático (CPC 1.029, §5º).</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Interpor só se houver questão federal/constitucional real e prequestionada. Separar o capítulo das astreintes: sustentar pelo Tema 1296 que a multa nunca incidiu (não é 'vencida'), evitando a trava do 1442; pedir distinção (CPC 1.037, §§9º a 13) se sobrestado. Pedir efeito suspensivo ao REsp (CPC 1.029, §5º, III, ao 2º VP; depois I, ao relator no STJ) se o MP iniciar cumprimento provisório. Orçar custas do STJ/STF antes de decidir.</w:t>
            </w:r>
          </w:p>
        </w:tc>
      </w:tr>
      <w:tr>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18</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Contrarrazões aos recursos excepcionais da parte adversa (se o MP ou o Município recorrerem).</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Antunelli (advogado).</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15 dias úteis da intimação (CPC 1.030, caput). A Antunelli não tem prazo em dobro.</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CPC 1.030, caput.</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Perder o prazo por publicação em nome de advogado errado (etapa 2 previne).</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Contrarrazões com preliminares de inadmissibilidade (Súmula 7; ausência de prequestionamento; dialeticidade) e defesa do acórdão.</w:t>
            </w:r>
          </w:p>
        </w:tc>
      </w:tr>
      <w:tr>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19</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Juízo de admissibilidade na origem pelo 2º Vice-Presidente do TJSC (competente para REsp/RE oriundos das câmaras de direito público e criminais): (I) negar seguimento (RE sem repercussão geral; acórdão conforme repetitivo — inclusive Tema 1296, se o acórdão o tiver aplicado); (II) encaminhar ao órgão julgador para retratação (acórdão divergente de repetitivo — Tema 1296 a nosso favor); (III) sobrestar (Tema 1442); (V) admitir e remeter ao STJ/STF.</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2º Vice-Presidente do TJSC (RITJSC art. 16 [CONFERIR inciso]; CPC 1.030).</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Prazo impróprio. Estimativa: 2 a 8 meses.</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CPC 1.030, I a V, e §§1º e 2º; CPC 1.021 (agravo interno contra I e III: 15 dias úteis, para o órgão colegiado indicado no RITJSC [CONFERIR: órgão]); CPC 1.042 (agravo em REsp/RE contra inadmissão: 15 dias úteis; contraminuta em 15 dias, §3º; sobe ao STJ/STF).</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Negativa com base em Súmula 7 ou em conformidade com repetitivo (irrecorrível ao STJ, só agravo interno). Sobrestamento pelo Tema 1442 por tempo indeterminado.</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Contra I/III: agravo interno em 15 dias úteis. Contra inadmissão: agravo em REsp/RE em 15 dias úteis, atacando cada fundamento da decisão (sob pena de não conhecimento). Escolher o recurso certo — erro na via é fatal.</w:t>
            </w:r>
          </w:p>
        </w:tc>
      </w:tr>
      <w:tr>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20</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Processamento no STJ (Primeira Seção — 1ª ou 2ª Turmas, direito público) e/ou STF: distribuição; decisão monocrática do relator (frequente) → agravo interno em 15 dias úteis → acórdão da Turma → ED em 5 dias úteis → certidão de trânsito e baixa ao TJSC.</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Relator e Turma do STJ (RISTJ art. 9º, §1º [CONFERIR]); Presidência do STF (repercussão geral).</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Estimativa: 12 a 24 meses. Agravo interno: 15 dias úteis (CPC 1.021; RISTJ). ED: 5 dias úteis (CPC 1.023).</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CPC 932, 1.021, 1.023, 1.035, 1.036-1.041; Súmula 7/STJ; Tema 1442/STJ; Tema 1296/STJ (vinculante, CPC 927, III).</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Multa do CPC 1.021, §4º; Súmula 7; sobrestamento (Tema 1442); enquanto pende o REsp, o MP pode promover cumprimento provisório das obrigações (CPC 520), embora a multa só possa ser levantada após o trânsito (CPC 537, §3º).</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Acompanhar; pedir efeito suspensivo ao REsp (CPC 1.029, §5º) se instaurado cumprimento provisório; avaliar custo-benefício de cada recurso interno.</w:t>
            </w:r>
          </w:p>
        </w:tc>
      </w:tr>
      <w:tr>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21</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Trânsito em julgado — certificado pela Secretaria do órgão em que o processo se encerrar (2ª CDP, se não houver REsp/RE; 2ª Vice-Presidência, se inadmitidos sem agravo; STJ/STF, se subirem). Pode haver trânsito parcial por capítulos não impugnados.</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Secretaria competente.</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1º dia útil após escoado, para TODAS as partes, o último prazo recursal sem recurso. Regra prática: o prazo do MP (em dobro) é o que fecha a conta — 30 dias úteis da publicação do acórdão dos ED (ou 10 dias úteis, se ninguém embargar e a questão for ED). Sem recursos excepcionais: estimativa 2027. Com REsp: 2027-2028.</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CPC 502, 1.003, §5º, 180, 183; CPC 1.026 (ED interrompem para todos).</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Certidão prematura (antes do prazo em dobro do MP) ou tardia; disputa sobre a data — que é o marco da tese do termo inicial dos prazos de 60/90/120 dias.</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Conferir a data certificada com a contagem própria. Se errada, petição de retificação imediata. Registrar a data em todos os controles do escritório.</w:t>
            </w:r>
          </w:p>
        </w:tc>
      </w:tr>
      <w:tr>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22</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Baixa dos autos ao 1º grau (Vara da Fazenda Pública da Comarca de São José, chave 409609497820) e intimação das partes do retorno. A sentença readquire eficácia (efeito suspensivo ex lege cessa).</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Secretaria do TJSC (baixa) e cartório da Vara da Fazenda Pública.</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Dias a poucas semanas após a certidão de trânsito [CONFERIR: norma da CGJ/RITJSC sobre remessa].</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CPC 1.012, caput (efeito suspensivo até o julgamento); RITJSC e normas da CGJ sobre remessa e baixa [CONFERIR].</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Cadastro do 1º grau ainda com 'Justiça gratuita: Deferida' (tela 'Custas' de 02/09/2026) e 'EIRELI' — confusão na liquidação de custas finais (a sentença isentou custas) e nas intimações. Intimação de retorno em nome de renunciantes.</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Petição imediata após a baixa: (i) juntar prova do cumprimento já ocorrido (alvará; atestado CBMSC vigente até 23/04/2027; documentos do Ev. 280); (ii) requerer cronograma e fixação do termo inicial dos prazos a partir da intimação pessoal; (iii) requerer que nenhuma multa incida sem prévia intimação pessoal (Tema 1296; Súmula 410/STJ); (iv) retificação do cadastro; (v) intimação exclusiva (CPC 272, §5º).</w:t>
            </w:r>
          </w:p>
        </w:tc>
      </w:tr>
      <w:tr>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23</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Cumprimento de sentença de obrigação de fazer: o juízo, de ofício ou a requerimento do MP, determina a intimação PESSOAL da Antunelli (na pessoa do administrador, Gabriel — CPC 75, VIII; atenção à divergência de endereço n. 1.003 x n. 1.100) para cumprir as 65 obrigações; só a partir daí pode incidir a multa. Impugnação em 15 dias. Multa de R$ 500,00/dia por obrigação, teto global R$ 200 mil (confessado pelo MP no Ev. 284); modificação da multa vincenda por excessividade ou cumprimento parcial superveniente; multa em ACP destinada ao fundo da Lei 7.347/1985, art. 13 [CONFERIR].</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Juízo da Vara da Fazenda Pública de São José (Dr. Fernando Yazbek Zazini ou sucessor); MP (11ª PJ de São José) como exequente; Município (nova inspeção determinada na sentença).</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Prazos da sentença (16 imediatas; 33 em 60 dias; 13 em 90 dias; 3 em 120 dias) contados — tese da Antunelli — da intimação pessoal para cumprir, porque a sentença esteve suspensa (CPC 1.012; 537, §4º). Impugnação: 15 dias úteis (CPC 536, §4º c/c 525). Prazo da nova inspeção do Município: [CONFERIR NO EPROC: dispositivo da sentença Ev. 271].</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CPC 536, caput e §§1º e 4º; 537, §§1º, 3º e 4º; 525; 924, II (extinção pela satisfação); Tema 1296/STJ (tese: prévia intimação pessoal do devedor é pressuposto da multa; Súmula 410/STJ mantida sob o CPC/2015); CPC 927, III.</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Leitura 'material' dos prazos: multa retroativa desde 23/06, 23/07 e 22/08/2026 → R$ 32.500,00/dia, teto de R$ 200 mil esgotado em ~7 dias. Início da execução da multa antes de perícia/inspeção. Município excluído → tudo, inclusive calçadas (bem público), sobre a Antunelli.</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Impugnar em 15 dias (536, §4º/525): ausência de intimação pessoal prévia (Tema 1296); termo inicial no trânsito; cumprimento comprovado (extinção parcial, 924, II); pedir inspeção/perícia antes de qualquer multa; pedir redução/exclusão da multa vincenda (537, §1º, I e II). Manter documentação de cumprimento contínuo (alvará, VISA, CBMSC) e o processo de readequação do alvará na VISA-SJ em ordem.</w:t>
            </w:r>
          </w:p>
        </w:tc>
      </w:tr>
    </w:tbl>
    <w:p>
      <w:pPr>
        <w:spacing w:after="120"/>
      </w:pPr>
    </w:p>
    <w:p>
      <w:pPr>
        <w:keepNext/>
        <w:spacing w:after="180" w:before="360" w:line="360"/>
        <w:jc w:val="left"/>
      </w:pPr>
      <w:r>
        <w:rPr>
          <w:rFonts w:ascii="Times New Roman" w:cs="Times New Roman" w:eastAsia="Times New Roman" w:hAnsi="Times New Roman"/>
          <w:b/>
          <w:bCs/>
          <w:sz w:val="24"/>
          <w:szCs w:val="24"/>
        </w:rPr>
        <w:t xml:space="preserve">Apêndice B — Ramificações de risco</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[baixa] (a) Relator considera a comprovação do preparo insuficiente ou irregular (valor divergente das guias de maio — R$ 724,33/724,18 x R$ 720,00 —, guia não localizada como paga, comprovante ilegível ou 'agendamento' em vez de pagamento).</w:t>
      </w:r>
      <w:r>
        <w:rPr>
          <w:rFonts w:ascii="Times New Roman" w:cs="Times New Roman" w:eastAsia="Times New Roman" w:hAnsi="Times New Roman"/>
          <w:sz w:val="24"/>
          <w:szCs w:val="24"/>
        </w:rPr>
        <w:t xml:space="preserve"> Consequência: Intimação para complementar/sanar em 5 dias úteis (CPC 1.007, §§2º e 7º; 932, p.ú.). Se o relator saltar a intimação e decretar deserção: apelação não conhecida monocraticamente, sentença eficaz após o trânsito da decisão, 65 obrigações exigíveis. Resposta: Complementar ou juntar extrato bancário autenticado no 1º dia do prazo. Contra decreto de deserção sem intimação: agravo interno em 15 dias úteis, sem preparo (CPC 1.021; RITJSC 293, p.ú.), invocando CPC 1.007, §§2º, 6º e 7º, o justo impedimento documentado (Doc. 4: tarja sistêmica, Cartilha 5.2, e-mails da DCDP de 02/09), a guia gerada pelo próprio Tribunal no valor de R$ 720,00 e a inaplicabilidade do §4º (houve requerimento nas razões, CPC 99, §7º, e prazo judicial para recolhimento simples).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[alta] (b) Relator aplica a Súmula 51/TJSC e declara prejudicado (ou homologa a desistência do) pedido de gratuidade — efeito desejado.</w:t>
      </w:r>
      <w:r>
        <w:rPr>
          <w:rFonts w:ascii="Times New Roman" w:cs="Times New Roman" w:eastAsia="Times New Roman" w:hAnsi="Times New Roman"/>
          <w:sz w:val="24"/>
          <w:szCs w:val="24"/>
        </w:rPr>
        <w:t xml:space="preserve"> Consequência: Não conhecimento do recurso 'no ponto' da gratuidade, e só nele; a apelação segue integralmente conhecida no mais. Sem custas adicionais no 2º grau. Para recursos futuros (REsp/RE/agravo em REsp) a Antunelli pagará preparo integral — não cabe reabrir a gratuidade. Resposta: Não embargar nem agravar. Orçar desde já as custas de eventual REsp/RE. Manter a coerência: em nenhuma peça futura pedir gratuidade.</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[media] (c) Relator questiona a representação ao ver a procuração de reforço (apelação assinada com base nos Ev. 21/38, anteriores à revogação do Ev. 93) ou entende que a assinatura da outorgante não está demonstrada.</w:t>
      </w:r>
      <w:r>
        <w:rPr>
          <w:rFonts w:ascii="Times New Roman" w:cs="Times New Roman" w:eastAsia="Times New Roman" w:hAnsi="Times New Roman"/>
          <w:sz w:val="24"/>
          <w:szCs w:val="24"/>
        </w:rPr>
        <w:t xml:space="preserve"> Consequência: Intimação para sanar em 5 dias úteis (CPC 76, caput; 932, p.ú.). Não sanado: não conhecimento (CPC 76, §2º, I). Se ignorada a ratificação juntada e o relator tratar o ato como inexistente, risco de não conhecimento monocrático → agravo interno. Resposta: Responder no 1º dia com a cadeia completa: Ev. 21/38 → Ev. 93 (revogação) → Ev. 211/256 (renúncia, nunca processada) → Sétima Alteração (08/06/2021: sócio único e administrador isolado) → Ev. 257 (manifestação como sócio e advogado, com contrato social) → procuração com ratificação expressa. Base: CPC 104, §2º (ineficácia, não inexistência), CC 662, p.ú. (retroação), CC 1.018 e CPC 75, VIII (administrador constitui mandatário), CPC 105, §§1º e 2º. Se a objeção for à assinatura, juntar nova procuração assinada com e-CNPJ da Antunelli ou de punho digitalizado, sem admitir vício. Contra não conhecimento monocrático: agravo interno em 15 dias úteis.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[media] (d) Decisão monocrática do relator (CPC 932, III, IV ou V) negando provimento ou não conhecendo, em vez de levar ao colegiado.</w:t>
      </w:r>
      <w:r>
        <w:rPr>
          <w:rFonts w:ascii="Times New Roman" w:cs="Times New Roman" w:eastAsia="Times New Roman" w:hAnsi="Times New Roman"/>
          <w:sz w:val="24"/>
          <w:szCs w:val="24"/>
        </w:rPr>
        <w:t xml:space="preserve"> Consequência: Sem sessão, sem sustentação oral, sem art. 942. Abre-se o agravo interno de 15 dias úteis, sem preparo (RITJSC 293, p.ú.), julgado pela 2ª CDP; o acórdão do agravo é que exaure a instância. Multa de 1% a 5% do valor atualizado da causa se o agravo for unanimemente inadmissível ou improcedente (CPC 1.021, §4º). Resposta: Agravo interno específico, fundamento por fundamento (1.021, §1º), demonstrando que o rol do 932, IV/V, é taxativo e que não há súmula ou repetitivo que resolva o mérito; pedir retratação (§2º) e julgamento colegiado; prequestionar. Não repetir a apelação (dialeticidade). Depois: ED e REsp/RE contra o acórdão do agravo.</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[media] (e) O Ministério Público (ou o Município) interpõe embargos de declaração e/ou REsp — verossímil apenas se houver provimento parcial em favor da Antunelli (redução do teto, alongamento de prazos, extinção parcial, calçadas ao Município).</w:t>
      </w:r>
      <w:r>
        <w:rPr>
          <w:rFonts w:ascii="Times New Roman" w:cs="Times New Roman" w:eastAsia="Times New Roman" w:hAnsi="Times New Roman"/>
          <w:sz w:val="24"/>
          <w:szCs w:val="24"/>
        </w:rPr>
        <w:t xml:space="preserve"> Consequência: Prazos em dobro para MP e Município (ED: 10 dias úteis; REsp/RE: 30 dias úteis — CPC 180 e 183) e isenção de preparo; o trânsito é adiado por meses ou anos. Enquanto pende recurso excepcional da Antunelli sem efeito suspensivo, o MP pode promover cumprimento provisório das obrigações (CPC 520), com a multa apenas depositada (CPC 537, §3º). Resposta: Contrarrazões em 15 dias úteis (CPC 1.023, §2º, para ED com efeito infringente: 5 dias; CPC 1.030 para REsp/RE), com preliminares de inadmissibilidade (Súmula 7; prequestionamento; dialeticidade). Se instaurado cumprimento provisório, pedir efeito suspensivo ao REsp (CPC 1.029, §5º) e impugnar (536, §4º/525), sempre invocando o Tema 1296.</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[alta] (f) Desprovimento integral das duas apelações (parecer da PGJ nesse sentido) e trânsito em julgado → retomada dos prazos das 65 obrigações.</w:t>
      </w:r>
      <w:r>
        <w:rPr>
          <w:rFonts w:ascii="Times New Roman" w:cs="Times New Roman" w:eastAsia="Times New Roman" w:hAnsi="Times New Roman"/>
          <w:sz w:val="24"/>
          <w:szCs w:val="24"/>
        </w:rPr>
        <w:t xml:space="preserve"> Consequência: Sentença exigível: 16 obrigações imediatas; 33 em 60 dias; 13 em 90 dias; 3 em 120 dias. Disputa sobre o termo inicial: (i) tese da Antunelli — da intimação pessoal para cumprir, após o trânsito, porque a sentença esteve suspensa (CPC 1.012; 537, §4º; Tema 1296); (ii) tese adversa — prazos já vencidos em 23/06, 23/07 e 22/08/2026, com multa retroativa (R$ 32.500/dia; teto de R$ 200 mil em ~7 dias). Município obrigado à nova inspeção. Resposta: Antes do trânsito: ED para fixar no acórdão o termo inicial e o teto global (confissão do MP, Ev. 284). No 1º grau: petição imediata após a baixa com prova do cumprimento; exigir intimação pessoal prévia (Tema 1296/Súmula 410); impugnação em 15 dias; perícia/inspeção antes de qualquer multa; redução da vincenda (537, §1º); extinção parcial pela satisfação (924, II). Meta: impedir que a multa vença (o Tema 1442 trava a discussão de multa já vencida no STJ).</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[media] (g) Provimento parcial (de uma ou de ambas as apelações): redução/limitação das astreintes, alongamento de prazos, extinção de obrigações cumpridas (CPC 487, III), redistribuição das calçadas; ou, no sentido inverso, exclusão do Município e responsabilidade exclusiva da Antunelli pelas calçadas (pedidos 'b' e 'd' do Ev. 288).</w:t>
      </w:r>
      <w:r>
        <w:rPr>
          <w:rFonts w:ascii="Times New Roman" w:cs="Times New Roman" w:eastAsia="Times New Roman" w:hAnsi="Times New Roman"/>
          <w:sz w:val="24"/>
          <w:szCs w:val="24"/>
        </w:rPr>
        <w:t xml:space="preserve"> Consequência: Capítulos reformados podem ser impugnados por MP e Município (prazos em dobro); capítulos não impugnados transitam em separado. Divergência parcial de votos aciona o art. 942. Se o Município for excluído, todo o ônus (inclusive logradouro público) recai sobre a ré. Resposta: Avaliar não recorrer dos capítulos favoráveis para consolidá-los; ED apenas nas omissões que prejudiquem o cumprimento (termo inicial, teto). Contra a exclusão do Município e a atribuição exclusiva das calçadas: ED para prequestionar CF 30, VIII, e 182 e a natureza pública do bem; depois RE (com preliminar de repercussão geral) e REsp no que couber.</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[media] (h) Pagamento por boleto ainda não compensado no dia do protocolo (ou no dia da conclusão ao relator); guia ID 51010131 exibida como 'em aberto'.</w:t>
      </w:r>
      <w:r>
        <w:rPr>
          <w:rFonts w:ascii="Times New Roman" w:cs="Times New Roman" w:eastAsia="Times New Roman" w:hAnsi="Times New Roman"/>
          <w:sz w:val="24"/>
          <w:szCs w:val="24"/>
        </w:rPr>
        <w:t xml:space="preserve"> Consequência: Certidão de 'recolhimento não localizado' → intimação para sanar ou leitura de que a comprovação foi intempestiva. Resposta: Juntar já no protocolo o comprovante bancário (não mero agendamento); em 08/09, conferir a baixa da guia; se em aberto, e-mail à DCDP e petição com extrato autenticado, lembrando a Resolução CM n. 3/2019, art. 1º, §4º (vencimento do boleto não influi no prazo processual) [CONFERIR TEXTO] e que o pagamento ocorreu em 02/09, dentro do prazo. Preferir cartão em pagamentos futuros (STJ/STF).</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[media] (i) Pedido de vista, adiamento, retirada de pauta ou reinclusão após objeção ao virtual.</w:t>
      </w:r>
      <w:r>
        <w:rPr>
          <w:rFonts w:ascii="Times New Roman" w:cs="Times New Roman" w:eastAsia="Times New Roman" w:hAnsi="Times New Roman"/>
          <w:sz w:val="24"/>
          <w:szCs w:val="24"/>
        </w:rPr>
        <w:t xml:space="preserve"> Consequência: Atraso de 1 a 2 sessões (CPC 940: vista de 10 dias, prorrogáveis por 10). A inscrição para sustentação oral deve ser renovada a cada nova inclusão em pauta (RITJSC 142-M, II [CONFERIR TEXTO]; 176). Resposta: Nova vigia da pauta; nova inscrição (2 dias úteis antes); manter o roteiro atualizado com o que já foi dito pelo relator, se houver voto proferido.</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[alta] (j) Sobrestamento do REsp da Antunelli pelo Tema 1442/STJ (modificação de astreintes vencidas; art. 537, §1º), na 2ª Vice-Presidência ou no STJ.</w:t>
      </w:r>
      <w:r>
        <w:rPr>
          <w:rFonts w:ascii="Times New Roman" w:cs="Times New Roman" w:eastAsia="Times New Roman" w:hAnsi="Times New Roman"/>
          <w:sz w:val="24"/>
          <w:szCs w:val="24"/>
        </w:rPr>
        <w:t xml:space="preserve"> Consequência: REsp parado por tempo indeterminado (CPC 1.030, III; 1.037, II); enquanto isso, cumprimento provisório possível no 1º grau. Resposta: Não fundar o REsp em 'redução de multa vencida'. Fundar no Tema 1296 (multa nunca incidiu por falta de intimação pessoal — não há multa 'vencida'), no CPC 1.012/537, §4º (termo inicial) e em violações processuais. Se sobrestado, requerimento de distinção (CPC 1.037, §§9º a 13) em 5 dias da intimação do sobrestamento.</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[baixa] (k) Não conhecimento de recurso futuro (agravo interno, ED, REsp) por ofensa à dialeticidade — a 2ª CDP já não conheceu recurso que repetia peça anterior (análise de 16/08/2026, §6.10) [CONFERIR: número do acórdão].</w:t>
      </w:r>
      <w:r>
        <w:rPr>
          <w:rFonts w:ascii="Times New Roman" w:cs="Times New Roman" w:eastAsia="Times New Roman" w:hAnsi="Times New Roman"/>
          <w:sz w:val="24"/>
          <w:szCs w:val="24"/>
        </w:rPr>
        <w:t xml:space="preserve"> Consequência: Recurso não conhecido; perda da instância; multa possível (CPC 1.021, §4º; 1.026, §2º). Resposta: Cada recurso dialoga com a decisão atacada, ponto a ponto; nunca colar a apelação ou os memoriais.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[media] (l) Intimações da fase recursal ou do cumprimento de sentença expedidas em nome das renunciantes ou de advogado revogado, com decurso em branco (repetição dos Ev. 90/97 de 2020).</w:t>
      </w:r>
      <w:r>
        <w:rPr>
          <w:rFonts w:ascii="Times New Roman" w:cs="Times New Roman" w:eastAsia="Times New Roman" w:hAnsi="Times New Roman"/>
          <w:sz w:val="24"/>
          <w:szCs w:val="24"/>
        </w:rPr>
        <w:t xml:space="preserve"> Consequência: Perda de prazos fatais (ED de 5 dias; REsp de 15; impugnação de 15) sem que o advogado veja a publicação. Resposta: Etapa 2 (desabilitação e intimação exclusiva, CPC 272, §§2º e 5º) nos dois graus; se ocorrer, arguir nulidade na primeira oportunidade (CPC 272, §8º, e 278) com prova do requerimento de intimação exclusiva (Ev. 40 e 65 do 1º grau e a nova petição).</w:t>
      </w:r>
    </w:p>
    <w:p>
      <w:pPr>
        <w:keepNext/>
        <w:spacing w:after="180" w:before="360" w:line="360"/>
        <w:jc w:val="left"/>
      </w:pPr>
      <w:r>
        <w:rPr>
          <w:rFonts w:ascii="Times New Roman" w:cs="Times New Roman" w:eastAsia="Times New Roman" w:hAnsi="Times New Roman"/>
          <w:b/>
          <w:bCs/>
          <w:sz w:val="24"/>
          <w:szCs w:val="24"/>
        </w:rPr>
        <w:t xml:space="preserve">Apêndice C — Prazos a vigiar</w:t>
      </w:r>
    </w:p>
    <w:p>
      <w:pPr>
        <w:pStyle w:val="ListParagraph"/>
        <w:numPr>
          <w:ilvl w:val="0"/>
          <w:numId w:val="2"/>
        </w:numPr>
        <w:spacing w:after="80" w:line="360"/>
        <w:jc w:val="both"/>
      </w:pPr>
      <w:r>
        <w:rPr>
          <w:rFonts w:ascii="Times New Roman" w:cs="Times New Roman" w:eastAsia="Times New Roman" w:hAnsi="Times New Roman"/>
          <w:sz w:val="24"/>
          <w:szCs w:val="24"/>
        </w:rPr>
        <w:t xml:space="preserve">04/09/2026 (sexta) 23h59min59s — prazo fatal do Ev. 25/27: protocolo da petição de cumprimento com comprovante do preparo (R$ 720,00, guia Ev. 31) e procuração com ratificação. Protocolar preferencialmente em 02/09 ou 03/09.</w:t>
      </w:r>
    </w:p>
    <w:p>
      <w:pPr>
        <w:pStyle w:val="ListParagraph"/>
        <w:numPr>
          <w:ilvl w:val="0"/>
          <w:numId w:val="2"/>
        </w:numPr>
        <w:spacing w:after="80" w:line="360"/>
        <w:jc w:val="both"/>
      </w:pPr>
      <w:r>
        <w:rPr>
          <w:rFonts w:ascii="Times New Roman" w:cs="Times New Roman" w:eastAsia="Times New Roman" w:hAnsi="Times New Roman"/>
          <w:sz w:val="24"/>
          <w:szCs w:val="24"/>
        </w:rPr>
        <w:t xml:space="preserve">03/09, 04/09 e 08/09/2026 — conferir no eproc a situação da guia ID 51010131 ('paga/baixada') e o status do prazo do Ev. 27 ('FECHADO'). 07/09 (segunda) é feriado forense (Independência); 08/09 (terça) é o 1º dia útil seguinte.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08/09/2026 — sugestão de data-limite interna para a peça autônoma de desabilitação das renunciantes, intimação exclusiva e retificação cadastral (sem prazo legal).</w:t>
      </w:r>
    </w:p>
    <w:p>
      <w:pPr>
        <w:pStyle w:val="ListParagraph"/>
        <w:numPr>
          <w:ilvl w:val="0"/>
          <w:numId w:val="2"/>
        </w:numPr>
        <w:spacing w:after="80" w:line="360"/>
        <w:jc w:val="both"/>
      </w:pPr>
      <w:r>
        <w:rPr>
          <w:rFonts w:ascii="Times New Roman" w:cs="Times New Roman" w:eastAsia="Times New Roman" w:hAnsi="Times New Roman"/>
          <w:sz w:val="24"/>
          <w:szCs w:val="24"/>
        </w:rPr>
        <w:t xml:space="preserve">De 08/09/2026 em diante, diariamente — DJEN (OAB 53.040) e painel do eproc: despacho do relator sobre o preparo/gratuidade; se houver intimação para sanar (CPC 932, p.ú.; 1.007, §§2º e 7º): 5 dias úteis contados do dia útil seguinte à publicação.</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Se o relator abrir vista ao MP: 10 dias úteis para o MP (CPC 180); eventual réplica da Antunelli: 5 dias úteis (CPC 218, §3º).</w:t>
      </w:r>
    </w:p>
    <w:p>
      <w:pPr>
        <w:pStyle w:val="ListParagraph"/>
        <w:numPr>
          <w:ilvl w:val="0"/>
          <w:numId w:val="2"/>
        </w:numPr>
        <w:spacing w:after="80" w:line="360"/>
        <w:jc w:val="both"/>
      </w:pPr>
      <w:r>
        <w:rPr>
          <w:rFonts w:ascii="Times New Roman" w:cs="Times New Roman" w:eastAsia="Times New Roman" w:hAnsi="Times New Roman"/>
          <w:sz w:val="24"/>
          <w:szCs w:val="24"/>
        </w:rPr>
        <w:t xml:space="preserve">Pauta: publicada com pelo menos 5 dias úteis de antecedência (CPC 935; RITJSC 142-L, §1º). No dia da publicação, calcular o dia-limite 'até 2 dias úteis antes da sessão' para: objeção ao virtual (142-M, §1º), sustentação de argumentos por áudio/vídeo (142-Q) ou inscrição para sustentação oral em sessão presencial/videoconferência (176, caput). Intempestivos não são admitidos (142-M, §4º). Sessão virtual: votação em até 6 dias úteis (142-N, §1º).</w:t>
      </w:r>
    </w:p>
    <w:p>
      <w:pPr>
        <w:pStyle w:val="ListParagraph"/>
        <w:numPr>
          <w:ilvl w:val="0"/>
          <w:numId w:val="2"/>
        </w:numPr>
        <w:spacing w:after="80" w:line="360"/>
        <w:jc w:val="both"/>
      </w:pPr>
      <w:r>
        <w:rPr>
          <w:rFonts w:ascii="Times New Roman" w:cs="Times New Roman" w:eastAsia="Times New Roman" w:hAnsi="Times New Roman"/>
          <w:sz w:val="24"/>
          <w:szCs w:val="24"/>
        </w:rPr>
        <w:t xml:space="preserve">Decisão monocrática (CPC 932): agravo interno em 15 dias úteis, sem preparo (CPC 1.021; RITJSC 293, p.ú.).</w:t>
      </w:r>
    </w:p>
    <w:p>
      <w:pPr>
        <w:pStyle w:val="ListParagraph"/>
        <w:numPr>
          <w:ilvl w:val="0"/>
          <w:numId w:val="2"/>
        </w:numPr>
        <w:spacing w:after="80" w:line="360"/>
        <w:jc w:val="both"/>
      </w:pPr>
      <w:r>
        <w:rPr>
          <w:rFonts w:ascii="Times New Roman" w:cs="Times New Roman" w:eastAsia="Times New Roman" w:hAnsi="Times New Roman"/>
          <w:sz w:val="24"/>
          <w:szCs w:val="24"/>
        </w:rPr>
        <w:t xml:space="preserve">Acórdão publicado: embargos de declaração em 5 dias úteis (CPC 1.023) — MP e Município têm 10 (CPC 180 e 183); os ED interrompem o prazo dos demais recursos para todos (CPC 1.026). Contraditório em ED com efeito infringente: 5 dias (1.023, §2º).</w:t>
      </w:r>
    </w:p>
    <w:p>
      <w:pPr>
        <w:pStyle w:val="ListParagraph"/>
        <w:numPr>
          <w:ilvl w:val="0"/>
          <w:numId w:val="2"/>
        </w:numPr>
        <w:spacing w:after="80" w:line="360"/>
        <w:jc w:val="both"/>
      </w:pPr>
      <w:r>
        <w:rPr>
          <w:rFonts w:ascii="Times New Roman" w:cs="Times New Roman" w:eastAsia="Times New Roman" w:hAnsi="Times New Roman"/>
          <w:sz w:val="24"/>
          <w:szCs w:val="24"/>
        </w:rPr>
        <w:t xml:space="preserve">Acórdão dos ED publicado: REsp e RE em 15 dias úteis (CPC 1.003, §5º), simultâneos (1.031), com preparo do STJ/STF comprovado na origem (CPC 1.007; Súmula 187/STJ) e procuração nova nos autos (Súmula 115/STJ). MP e Município: 30 dias úteis. Contrarrazões: 15 dias úteis (CPC 1.030).</w:t>
      </w:r>
    </w:p>
    <w:p>
      <w:pPr>
        <w:pStyle w:val="ListParagraph"/>
        <w:numPr>
          <w:ilvl w:val="0"/>
          <w:numId w:val="2"/>
        </w:numPr>
        <w:spacing w:after="80" w:line="360"/>
        <w:jc w:val="both"/>
      </w:pPr>
      <w:r>
        <w:rPr>
          <w:rFonts w:ascii="Times New Roman" w:cs="Times New Roman" w:eastAsia="Times New Roman" w:hAnsi="Times New Roman"/>
          <w:sz w:val="24"/>
          <w:szCs w:val="24"/>
        </w:rPr>
        <w:t xml:space="preserve">Decisão do 2º Vice-Presidente: agravo interno (contra negativa por CPC 1.030, I ou III) ou agravo em REsp/RE (contra inadmissão, CPC 1.042) — ambos 15 dias úteis; contraminuta 15 dias úteis. Sobrestamento pelo Tema 1442: requerimento de distinção em 5 dias (CPC 1.037, §10).</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STJ/STF: agravo interno contra decisão monocrática em 15 dias úteis (CPC 1.021); ED em 5 dias úteis (CPC 1.023).</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Trânsito em julgado: conferir a certidão — o prazo em dobro do MP (30 dias úteis do acórdão dos ED) é o que fecha a conta; a data é o marco da tese do termo inicial das obrigações.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Baixa ao 1º grau: petição imediata (mesma semana) com prova de cumprimento, pedido de cronograma/termo inicial e de intimação pessoal prévia (Tema 1296; Súmula 410/STJ).</w:t>
      </w:r>
    </w:p>
    <w:p>
      <w:pPr>
        <w:pStyle w:val="ListParagraph"/>
        <w:numPr>
          <w:ilvl w:val="0"/>
          <w:numId w:val="2"/>
        </w:numPr>
        <w:spacing w:after="80" w:line="360"/>
        <w:jc w:val="both"/>
      </w:pPr>
      <w:r>
        <w:rPr>
          <w:rFonts w:ascii="Times New Roman" w:cs="Times New Roman" w:eastAsia="Times New Roman" w:hAnsi="Times New Roman"/>
          <w:sz w:val="24"/>
          <w:szCs w:val="24"/>
        </w:rPr>
        <w:t xml:space="preserve">Cumprimento de sentença: impugnação em 15 dias úteis da intimação (CPC 536, §4º c/c 525); prazos das obrigações (60/90/120 dias) a contar — na tese da Antunelli — da intimação pessoal para cumprir; nunca deixar vencer multa (Tema 1442 trava a revisão de multa vencida).</w:t>
      </w:r>
    </w:p>
    <w:p>
      <w:pPr>
        <w:pStyle w:val="ListParagraph"/>
        <w:numPr>
          <w:ilvl w:val="0"/>
          <w:numId w:val="2"/>
        </w:numPr>
        <w:spacing w:after="80" w:line="360"/>
        <w:jc w:val="both"/>
      </w:pPr>
      <w:r>
        <w:rPr>
          <w:rFonts w:ascii="Times New Roman" w:cs="Times New Roman" w:eastAsia="Times New Roman" w:hAnsi="Times New Roman"/>
          <w:sz w:val="24"/>
          <w:szCs w:val="24"/>
        </w:rPr>
        <w:t xml:space="preserve">23/04/2027 — vencimento do atestado do CBMSC (Ev. 280, Doc. 8): renovar antes, para que a prova de cumprimento permaneça vigente no cumprimento de sentença.</w:t>
      </w:r>
    </w:p>
    <w:p>
      <w:pPr>
        <w:pStyle w:val="ListParagraph"/>
        <w:numPr>
          <w:ilvl w:val="0"/>
          <w:numId w:val="2"/>
        </w:numPr>
        <w:spacing w:after="80" w:line="360"/>
        <w:jc w:val="both"/>
      </w:pPr>
      <w:r>
        <w:rPr>
          <w:rFonts w:ascii="Times New Roman" w:cs="Times New Roman" w:eastAsia="Times New Roman" w:hAnsi="Times New Roman"/>
          <w:sz w:val="24"/>
          <w:szCs w:val="24"/>
        </w:rPr>
        <w:t xml:space="preserve">Permanente: vigia de publicações em nome das renunciantes (Caroline Vaz, OAB/SC 54.142; Lígia Luis, OAB/SC 53.624) até a desabilitação efetiva nos dois graus.</w:t>
      </w:r>
    </w:p>
    <w:p>
      <w:pPr>
        <w:keepNext/>
        <w:spacing w:after="180" w:before="360" w:line="360"/>
        <w:jc w:val="left"/>
      </w:pPr>
      <w:r>
        <w:rPr>
          <w:rFonts w:ascii="Times New Roman" w:cs="Times New Roman" w:eastAsia="Times New Roman" w:hAnsi="Times New Roman"/>
          <w:b/>
          <w:bCs/>
          <w:sz w:val="24"/>
          <w:szCs w:val="24"/>
        </w:rPr>
        <w:t xml:space="preserve">Apêndice D — Achados da verificação adversarial já incorporados às peças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Identificação precisa do ato de que se desiste: "Evento 280 dos autos de origem, conforme certidão do Evento 23 deste recurso" (a peça corre no caderno do 2º grau, com numeração própria).</w:t>
      </w:r>
    </w:p>
    <w:p>
      <w:pPr>
        <w:pStyle w:val="ListParagraph"/>
        <w:numPr>
          <w:ilvl w:val="0"/>
          <w:numId w:val="2"/>
        </w:numPr>
        <w:spacing w:after="80" w:line="360"/>
        <w:jc w:val="both"/>
      </w:pPr>
      <w:r>
        <w:rPr>
          <w:rFonts w:ascii="Times New Roman" w:cs="Times New Roman" w:eastAsia="Times New Roman" w:hAnsi="Times New Roman"/>
          <w:sz w:val="24"/>
          <w:szCs w:val="24"/>
        </w:rPr>
        <w:t xml:space="preserve">Pedido "b" reduzido à declaração de prejudicialidade; retirado o pedido de nova anotação cadastral da gratuidade, que já causou erros em cascata (Ev. 293, Ev. 3-4, tarja).</w:t>
      </w:r>
    </w:p>
    <w:p>
      <w:pPr>
        <w:pStyle w:val="ListParagraph"/>
        <w:numPr>
          <w:ilvl w:val="0"/>
          <w:numId w:val="2"/>
        </w:numPr>
        <w:spacing w:after="80" w:line="360"/>
        <w:jc w:val="both"/>
      </w:pPr>
      <w:r>
        <w:rPr>
          <w:rFonts w:ascii="Times New Roman" w:cs="Times New Roman" w:eastAsia="Times New Roman" w:hAnsi="Times New Roman"/>
          <w:sz w:val="24"/>
          <w:szCs w:val="24"/>
        </w:rPr>
        <w:t xml:space="preserve">Art. 99, § 7º, lido corretamente: o Ev. 25 não indeferiu a gratuidade; abriu alternativa com base no § 2º. O § 4º do art. 1.007 é afastado pela norma especial do § 7º, não por um pressuposto que o § 4º não enuncia.</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Sede: n. 1.100 (registro na JUCESC) e estabelecimento no n. 1.003, para não divergir do contrato social juntado como Doc. 3.</w:t>
      </w:r>
    </w:p>
    <w:p>
      <w:pPr>
        <w:pStyle w:val="ListParagraph"/>
        <w:numPr>
          <w:ilvl w:val="0"/>
          <w:numId w:val="2"/>
        </w:numPr>
        <w:spacing w:after="80" w:line="360"/>
        <w:jc w:val="both"/>
      </w:pPr>
      <w:r>
        <w:rPr>
          <w:rFonts w:ascii="Times New Roman" w:cs="Times New Roman" w:eastAsia="Times New Roman" w:hAnsi="Times New Roman"/>
          <w:sz w:val="24"/>
          <w:szCs w:val="24"/>
        </w:rPr>
        <w:t xml:space="preserve">Valor e número da guia ancorados no Ev. 31 e no Doc. 1, com marcação de conferência; Circular CGJ n. 643/2025 não é citada.</w:t>
      </w:r>
    </w:p>
    <w:p>
      <w:pPr>
        <w:pStyle w:val="ListParagraph"/>
        <w:numPr>
          <w:ilvl w:val="0"/>
          <w:numId w:val="2"/>
        </w:numPr>
        <w:spacing w:after="80" w:line="360"/>
        <w:jc w:val="both"/>
      </w:pPr>
      <w:r>
        <w:rPr>
          <w:rFonts w:ascii="Times New Roman" w:cs="Times New Roman" w:eastAsia="Times New Roman" w:hAnsi="Times New Roman"/>
          <w:sz w:val="24"/>
          <w:szCs w:val="24"/>
        </w:rPr>
        <w:t xml:space="preserve">Desistência sempre com o verbo "desiste" e com a ressalva expressa de que o recurso e os demais requerimentos dos memoriais ficam mantidos (CPC, art. 998, afastado).</w:t>
      </w:r>
    </w:p>
    <w:p>
      <w:pPr>
        <w:pStyle w:val="ListParagraph"/>
        <w:numPr>
          <w:ilvl w:val="0"/>
          <w:numId w:val="2"/>
        </w:numPr>
        <w:spacing w:after="80" w:line="360"/>
        <w:jc w:val="both"/>
      </w:pPr>
      <w:r>
        <w:rPr>
          <w:rFonts w:ascii="Times New Roman" w:cs="Times New Roman" w:eastAsia="Times New Roman" w:hAnsi="Times New Roman"/>
          <w:sz w:val="24"/>
          <w:szCs w:val="24"/>
        </w:rPr>
        <w:t xml:space="preserve">Declaração de autenticidade das reproduções digitalizadas (Lei n. 11.419/2006, art. 11, § 1º; CPC, art. 425, VI).</w:t>
      </w:r>
    </w:p>
    <w:p>
      <w:pPr>
        <w:pStyle w:val="ListParagraph"/>
        <w:numPr>
          <w:ilvl w:val="0"/>
          <w:numId w:val="2"/>
        </w:numPr>
        <w:spacing w:after="80" w:line="360"/>
        <w:jc w:val="both"/>
      </w:pPr>
      <w:r>
        <w:rPr>
          <w:rFonts w:ascii="Times New Roman" w:cs="Times New Roman" w:eastAsia="Times New Roman" w:hAnsi="Times New Roman"/>
          <w:sz w:val="24"/>
          <w:szCs w:val="24"/>
        </w:rPr>
        <w:t xml:space="preserve">Capítulo da representação: fato descritivo (sócio único e administrador é o subscritor; Sétima Alteração já nos autos, Ev. 257) antes da juntada "em reforço"; sem citar revogação, renúncia, CPC 76/104 ou Súmula 115.</w:t>
      </w:r>
    </w:p>
    <w:p>
      <w:pPr>
        <w:pStyle w:val="ListParagraph"/>
        <w:numPr>
          <w:ilvl w:val="0"/>
          <w:numId w:val="2"/>
        </w:numPr>
        <w:spacing w:after="80" w:line="360"/>
        <w:jc w:val="both"/>
      </w:pPr>
      <w:r>
        <w:rPr>
          <w:rFonts w:ascii="Times New Roman" w:cs="Times New Roman" w:eastAsia="Times New Roman" w:hAnsi="Times New Roman"/>
          <w:sz w:val="24"/>
          <w:szCs w:val="24"/>
        </w:rPr>
        <w:t xml:space="preserve">Procuração: aceite do outorgado, duas linhas de assinatura, poderes de recolher custas e de requerer intimação exclusiva, menção a STJ e STF, ratificação nominativa incluindo as diligências de 02/09 e a própria petição.</w:t>
      </w:r>
    </w:p>
    <w:p>
      <w:pPr>
        <w:pStyle w:val="ListParagraph"/>
        <w:numPr>
          <w:ilvl w:val="0"/>
          <w:numId w:val="2"/>
        </w:numPr>
        <w:spacing w:after="80" w:line="360"/>
        <w:jc w:val="both"/>
      </w:pPr>
      <w:r>
        <w:rPr>
          <w:rFonts w:ascii="Times New Roman" w:cs="Times New Roman" w:eastAsia="Times New Roman" w:hAnsi="Times New Roman"/>
          <w:sz w:val="24"/>
          <w:szCs w:val="24"/>
        </w:rPr>
        <w:t xml:space="preserve">Peça 03: retirado o pedido de certidão das comunicações às renunciantes (preclusão provável e exposição desnecessária do intervalo sem procurador); mantidos baixa, intimação exclusiva (inclusive pauta) e razão social.</w:t>
      </w:r>
    </w:p>
    <w:sectPr>
      <w:footerReference w:type="default" r:id="rId7"/>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09"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RELATORIO-AUDITORIA</dc:title>
  <dc:creator>Espírito Santo Advocacia</dc:creator>
  <cp:lastModifiedBy>Un-named</cp:lastModifiedBy>
  <cp:revision>1</cp:revision>
  <dcterms:created xsi:type="dcterms:W3CDTF">2026-09-02T16:19:37.471Z</dcterms:created>
  <dcterms:modified xsi:type="dcterms:W3CDTF">2026-09-02T16:19:37.471Z</dcterms:modified>
</cp:coreProperties>
</file>

<file path=docProps/custom.xml><?xml version="1.0" encoding="utf-8"?>
<Properties xmlns="http://schemas.openxmlformats.org/officeDocument/2006/custom-properties" xmlns:vt="http://schemas.openxmlformats.org/officeDocument/2006/docPropsVTypes"/>
</file>