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Pricing memo, June 2026</w:t>
      </w:r>
    </w:p>
    <w:p>
      <w:r>
        <w:t xml:space="preserve">Banner prices increase by 15% from 1 July because the cost of PVC vinyl rose.</w:t>
      </w:r>
    </w:p>
    <w:p>
      <w:r>
        <w:t xml:space="preserve">Business card prices stay the same despite the switch to thicker card.</w:t>
      </w:r>
    </w:p>
    <w:p>
      <w:r>
        <w:t xml:space="preserve">A3 poster prices will be reviewed after the PaperWorks increase on coated stock.</w:t>
      </w:r>
    </w:p>
  </w:body>
</w:document>
</file>