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Capstone One – Business and Strategic Implications of My Dataset</w:t>
      </w:r>
    </w:p>
    <w:p>
      <w:r>
        <w:t>Dataset Title: Financial Risk Assessment</w:t>
      </w:r>
    </w:p>
    <w:p>
      <w:r>
        <w:t>Structure: 15,000 rows, 20 columns</w:t>
      </w:r>
    </w:p>
    <w:p>
      <w:r>
        <w:t>Data Types: Mix of numerical (e.g., income, credit score, debt ratio) and categorical (e.g., gender, employment status, risk rating) variables</w:t>
      </w:r>
    </w:p>
    <w:p>
      <w:r>
        <w:t>Format: Clean, tabular CSV file</w:t>
      </w:r>
    </w:p>
    <w:p>
      <w:pPr>
        <w:pStyle w:val="Heading2"/>
      </w:pPr>
      <w:r>
        <w:t>1. Financial Implications</w:t>
      </w:r>
    </w:p>
    <w:p>
      <w:r>
        <w:t>This dataset allows for the analysis of credit risk by evaluating borrower characteristics such as income, credit score, payment history, and debt-to-income ratio. The key financial implication of this analysis is the ability to identify patterns that predict high-risk borrowers, which can help financial institutions:</w:t>
        <w:br/>
        <w:t>- Reduce loan defaults by tightening approval criteria for high-risk profiles</w:t>
        <w:br/>
        <w:t>- Set more accurate interest rates based on risk tier</w:t>
        <w:br/>
        <w:t>- Optimize credit underwriting models</w:t>
        <w:br/>
        <w:t>- Design better risk-adjusted lending strategies</w:t>
        <w:br/>
        <w:br/>
        <w:t>This can lead to improved portfolio performance, reduced losses, and more sustainable loan growth for lenders.</w:t>
      </w:r>
    </w:p>
    <w:p>
      <w:pPr>
        <w:pStyle w:val="Heading2"/>
      </w:pPr>
      <w:r>
        <w:t>2. Strategic Implications</w:t>
      </w:r>
    </w:p>
    <w:p>
      <w:r>
        <w:t>From a strategic standpoint, the insights derived from this dataset can guide organizational policy and long-term planning. For example:</w:t>
        <w:br/>
        <w:t>- Banks or lenders can segment applicants by risk profile and target low-risk groups more effectively</w:t>
        <w:br/>
        <w:t>- Financial institutions can allocate resources (e.g., customer service, collections, fraud prevention) based on borrower risk levels</w:t>
        <w:br/>
        <w:t>- Data can inform marketing strategies, such as tailoring financial products (e.g., secured vs. unsecured loans) to different risk groups</w:t>
        <w:br/>
        <w:t>- Insights can support the development of AI/ML-powered loan recommendation systems</w:t>
        <w:br/>
        <w:br/>
        <w:t>Ultimately, the dataset supports data-driven decision-making to enhance profitability, customer targeting, and risk mitigation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