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D39" w:rsidRPr="00054D43" w:rsidRDefault="00A173BA" w:rsidP="00054D43">
      <w:pPr>
        <w:jc w:val="center"/>
        <w:rPr>
          <w:b/>
        </w:rPr>
      </w:pPr>
      <w:r w:rsidRPr="00054D43">
        <w:rPr>
          <w:b/>
        </w:rPr>
        <w:t>Comparison of NASA, ASME and DHS Distances</w:t>
      </w:r>
      <w:r w:rsidR="0099632B" w:rsidRPr="00054D43">
        <w:rPr>
          <w:b/>
        </w:rPr>
        <w:t xml:space="preserve"> in Feet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345"/>
        <w:gridCol w:w="1052"/>
        <w:gridCol w:w="918"/>
        <w:gridCol w:w="1346"/>
        <w:gridCol w:w="859"/>
        <w:gridCol w:w="976"/>
        <w:gridCol w:w="3219"/>
      </w:tblGrid>
      <w:tr w:rsidR="00204F77" w:rsidTr="00434786">
        <w:tc>
          <w:tcPr>
            <w:tcW w:w="1345" w:type="dxa"/>
            <w:vAlign w:val="center"/>
          </w:tcPr>
          <w:p w:rsidR="00204F77" w:rsidRDefault="00204F77" w:rsidP="00434786">
            <w:pPr>
              <w:jc w:val="center"/>
              <w:rPr>
                <w:b/>
              </w:rPr>
            </w:pPr>
            <w:r>
              <w:rPr>
                <w:b/>
              </w:rPr>
              <w:t xml:space="preserve">TNT </w:t>
            </w:r>
            <w:proofErr w:type="spellStart"/>
            <w:r>
              <w:rPr>
                <w:b/>
              </w:rPr>
              <w:t>Equiv</w:t>
            </w:r>
            <w:proofErr w:type="spellEnd"/>
          </w:p>
          <w:p w:rsidR="00204F77" w:rsidRPr="00820853" w:rsidRDefault="00204F77" w:rsidP="00434786">
            <w:pPr>
              <w:jc w:val="center"/>
              <w:rPr>
                <w:b/>
              </w:rPr>
            </w:pPr>
            <w:r w:rsidRPr="00820853">
              <w:rPr>
                <w:b/>
              </w:rPr>
              <w:t>(lbs)</w:t>
            </w:r>
          </w:p>
        </w:tc>
        <w:tc>
          <w:tcPr>
            <w:tcW w:w="1970" w:type="dxa"/>
            <w:gridSpan w:val="2"/>
            <w:vAlign w:val="center"/>
          </w:tcPr>
          <w:p w:rsidR="00204F77" w:rsidRPr="00820853" w:rsidRDefault="00204F77" w:rsidP="00434786">
            <w:pPr>
              <w:jc w:val="center"/>
              <w:rPr>
                <w:b/>
              </w:rPr>
            </w:pPr>
            <w:r w:rsidRPr="00820853">
              <w:rPr>
                <w:b/>
              </w:rPr>
              <w:t>NASA</w:t>
            </w:r>
          </w:p>
          <w:p w:rsidR="00204F77" w:rsidRPr="00820853" w:rsidRDefault="00204F77" w:rsidP="00434786">
            <w:pPr>
              <w:jc w:val="center"/>
              <w:rPr>
                <w:b/>
              </w:rPr>
            </w:pPr>
            <w:r w:rsidRPr="00820853">
              <w:rPr>
                <w:b/>
              </w:rPr>
              <w:t>NASA-STD-8719.12</w:t>
            </w:r>
          </w:p>
          <w:p w:rsidR="00204F77" w:rsidRPr="00820853" w:rsidRDefault="00204F77" w:rsidP="00434786">
            <w:pPr>
              <w:jc w:val="center"/>
              <w:rPr>
                <w:b/>
              </w:rPr>
            </w:pPr>
            <w:r w:rsidRPr="00820853">
              <w:rPr>
                <w:b/>
              </w:rPr>
              <w:t>H/D 1.1</w:t>
            </w:r>
          </w:p>
        </w:tc>
        <w:tc>
          <w:tcPr>
            <w:tcW w:w="1346" w:type="dxa"/>
            <w:vAlign w:val="center"/>
          </w:tcPr>
          <w:p w:rsidR="00204F77" w:rsidRPr="00820853" w:rsidRDefault="00204F77" w:rsidP="00434786">
            <w:pPr>
              <w:jc w:val="center"/>
              <w:rPr>
                <w:b/>
              </w:rPr>
            </w:pPr>
            <w:r w:rsidRPr="00820853">
              <w:rPr>
                <w:b/>
              </w:rPr>
              <w:t>ASME</w:t>
            </w:r>
          </w:p>
          <w:p w:rsidR="00204F77" w:rsidRPr="00820853" w:rsidRDefault="00204F77" w:rsidP="00434786">
            <w:pPr>
              <w:jc w:val="center"/>
              <w:rPr>
                <w:b/>
              </w:rPr>
            </w:pPr>
            <w:r w:rsidRPr="00820853">
              <w:rPr>
                <w:b/>
              </w:rPr>
              <w:t>PCC-2-2018</w:t>
            </w:r>
          </w:p>
          <w:p w:rsidR="00204F77" w:rsidRPr="00820853" w:rsidRDefault="00204F77" w:rsidP="00434786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Pr="00820853">
              <w:rPr>
                <w:b/>
              </w:rPr>
              <w:t>IME ATD</w:t>
            </w:r>
            <w:r>
              <w:rPr>
                <w:b/>
              </w:rPr>
              <w:t>)</w:t>
            </w:r>
          </w:p>
        </w:tc>
        <w:tc>
          <w:tcPr>
            <w:tcW w:w="5054" w:type="dxa"/>
            <w:gridSpan w:val="3"/>
            <w:vAlign w:val="center"/>
          </w:tcPr>
          <w:p w:rsidR="00204F77" w:rsidRPr="00820853" w:rsidRDefault="00204F77" w:rsidP="00434786">
            <w:pPr>
              <w:jc w:val="center"/>
              <w:rPr>
                <w:b/>
              </w:rPr>
            </w:pPr>
            <w:r w:rsidRPr="00820853">
              <w:rPr>
                <w:b/>
              </w:rPr>
              <w:t>DHS</w:t>
            </w:r>
          </w:p>
          <w:p w:rsidR="00204F77" w:rsidRPr="00820853" w:rsidRDefault="00204F77" w:rsidP="00434786">
            <w:pPr>
              <w:jc w:val="center"/>
              <w:rPr>
                <w:b/>
              </w:rPr>
            </w:pPr>
            <w:r w:rsidRPr="00820853">
              <w:rPr>
                <w:b/>
              </w:rPr>
              <w:t>Bomb Threat</w:t>
            </w:r>
          </w:p>
        </w:tc>
      </w:tr>
      <w:tr w:rsidR="0099632B" w:rsidTr="00204F77">
        <w:tc>
          <w:tcPr>
            <w:tcW w:w="1345" w:type="dxa"/>
          </w:tcPr>
          <w:p w:rsidR="0099632B" w:rsidRDefault="0099632B"/>
        </w:tc>
        <w:tc>
          <w:tcPr>
            <w:tcW w:w="1052" w:type="dxa"/>
          </w:tcPr>
          <w:p w:rsidR="0099632B" w:rsidRDefault="0099632B" w:rsidP="00054D43">
            <w:pPr>
              <w:jc w:val="center"/>
            </w:pPr>
            <w:r>
              <w:t>Structure</w:t>
            </w:r>
          </w:p>
        </w:tc>
        <w:tc>
          <w:tcPr>
            <w:tcW w:w="918" w:type="dxa"/>
          </w:tcPr>
          <w:p w:rsidR="0099632B" w:rsidRDefault="0099632B" w:rsidP="00054D43">
            <w:pPr>
              <w:jc w:val="center"/>
            </w:pPr>
            <w:r>
              <w:t>Open</w:t>
            </w:r>
          </w:p>
        </w:tc>
        <w:tc>
          <w:tcPr>
            <w:tcW w:w="1346" w:type="dxa"/>
          </w:tcPr>
          <w:p w:rsidR="0099632B" w:rsidRDefault="0099632B" w:rsidP="00054D43">
            <w:pPr>
              <w:jc w:val="center"/>
            </w:pPr>
            <w:r>
              <w:t>IBD</w:t>
            </w:r>
          </w:p>
        </w:tc>
        <w:tc>
          <w:tcPr>
            <w:tcW w:w="859" w:type="dxa"/>
          </w:tcPr>
          <w:p w:rsidR="0099632B" w:rsidRDefault="0099632B" w:rsidP="00054D43">
            <w:pPr>
              <w:jc w:val="center"/>
            </w:pPr>
            <w:r>
              <w:t>Bldg</w:t>
            </w:r>
          </w:p>
        </w:tc>
        <w:tc>
          <w:tcPr>
            <w:tcW w:w="976" w:type="dxa"/>
          </w:tcPr>
          <w:p w:rsidR="0099632B" w:rsidRDefault="0099632B" w:rsidP="00054D43">
            <w:pPr>
              <w:jc w:val="center"/>
            </w:pPr>
            <w:r>
              <w:t>Outdoor</w:t>
            </w:r>
          </w:p>
        </w:tc>
        <w:tc>
          <w:tcPr>
            <w:tcW w:w="3219" w:type="dxa"/>
          </w:tcPr>
          <w:p w:rsidR="0099632B" w:rsidRDefault="003813B0" w:rsidP="003813B0">
            <w:pPr>
              <w:jc w:val="center"/>
            </w:pPr>
            <w:r>
              <w:t>Threat</w:t>
            </w:r>
          </w:p>
        </w:tc>
      </w:tr>
      <w:tr w:rsidR="005A2734" w:rsidTr="00204F77">
        <w:tc>
          <w:tcPr>
            <w:tcW w:w="1345" w:type="dxa"/>
          </w:tcPr>
          <w:p w:rsidR="005A2734" w:rsidRDefault="00F525DE">
            <w:r>
              <w:rPr>
                <w:rFonts w:cstheme="minorHAnsi"/>
              </w:rPr>
              <w:t>≤</w:t>
            </w:r>
            <w:r w:rsidR="0051694A">
              <w:t xml:space="preserve"> 0.5</w:t>
            </w:r>
          </w:p>
        </w:tc>
        <w:tc>
          <w:tcPr>
            <w:tcW w:w="1052" w:type="dxa"/>
          </w:tcPr>
          <w:p w:rsidR="005A2734" w:rsidRDefault="0051694A" w:rsidP="00054D43">
            <w:pPr>
              <w:jc w:val="center"/>
            </w:pPr>
            <w:r>
              <w:t>200</w:t>
            </w:r>
          </w:p>
        </w:tc>
        <w:tc>
          <w:tcPr>
            <w:tcW w:w="918" w:type="dxa"/>
          </w:tcPr>
          <w:p w:rsidR="005A2734" w:rsidRDefault="0051694A" w:rsidP="00054D43">
            <w:pPr>
              <w:jc w:val="center"/>
            </w:pPr>
            <w:r>
              <w:t>236</w:t>
            </w:r>
          </w:p>
        </w:tc>
        <w:tc>
          <w:tcPr>
            <w:tcW w:w="1346" w:type="dxa"/>
          </w:tcPr>
          <w:p w:rsidR="005A2734" w:rsidRDefault="005A2734" w:rsidP="0099632B">
            <w:pPr>
              <w:jc w:val="center"/>
            </w:pPr>
          </w:p>
        </w:tc>
        <w:tc>
          <w:tcPr>
            <w:tcW w:w="859" w:type="dxa"/>
          </w:tcPr>
          <w:p w:rsidR="005A2734" w:rsidRDefault="005A2734" w:rsidP="0099632B">
            <w:pPr>
              <w:jc w:val="center"/>
            </w:pPr>
          </w:p>
        </w:tc>
        <w:tc>
          <w:tcPr>
            <w:tcW w:w="976" w:type="dxa"/>
          </w:tcPr>
          <w:p w:rsidR="005A2734" w:rsidRDefault="005A2734" w:rsidP="0099632B">
            <w:pPr>
              <w:jc w:val="center"/>
            </w:pPr>
          </w:p>
        </w:tc>
        <w:tc>
          <w:tcPr>
            <w:tcW w:w="3219" w:type="dxa"/>
          </w:tcPr>
          <w:p w:rsidR="005A2734" w:rsidRDefault="005A2734"/>
        </w:tc>
      </w:tr>
      <w:tr w:rsidR="0099632B" w:rsidTr="00204F77">
        <w:tc>
          <w:tcPr>
            <w:tcW w:w="1345" w:type="dxa"/>
          </w:tcPr>
          <w:p w:rsidR="0099632B" w:rsidRDefault="0099632B">
            <w:r>
              <w:t>5</w:t>
            </w:r>
          </w:p>
        </w:tc>
        <w:tc>
          <w:tcPr>
            <w:tcW w:w="1052" w:type="dxa"/>
          </w:tcPr>
          <w:p w:rsidR="0099632B" w:rsidRDefault="0099632B" w:rsidP="00054D43">
            <w:pPr>
              <w:jc w:val="center"/>
            </w:pPr>
            <w:r>
              <w:t>200</w:t>
            </w:r>
          </w:p>
        </w:tc>
        <w:tc>
          <w:tcPr>
            <w:tcW w:w="918" w:type="dxa"/>
          </w:tcPr>
          <w:p w:rsidR="0099632B" w:rsidRDefault="0099632B" w:rsidP="00054D43">
            <w:pPr>
              <w:jc w:val="center"/>
            </w:pPr>
            <w:r>
              <w:t>419</w:t>
            </w:r>
          </w:p>
        </w:tc>
        <w:tc>
          <w:tcPr>
            <w:tcW w:w="1346" w:type="dxa"/>
          </w:tcPr>
          <w:p w:rsidR="0099632B" w:rsidRDefault="0099632B" w:rsidP="0099632B">
            <w:pPr>
              <w:jc w:val="center"/>
            </w:pPr>
            <w:r>
              <w:t>140</w:t>
            </w:r>
          </w:p>
        </w:tc>
        <w:tc>
          <w:tcPr>
            <w:tcW w:w="859" w:type="dxa"/>
          </w:tcPr>
          <w:p w:rsidR="0099632B" w:rsidRDefault="0099632B" w:rsidP="0099632B">
            <w:pPr>
              <w:jc w:val="center"/>
            </w:pPr>
            <w:r>
              <w:t>70</w:t>
            </w:r>
          </w:p>
        </w:tc>
        <w:tc>
          <w:tcPr>
            <w:tcW w:w="976" w:type="dxa"/>
          </w:tcPr>
          <w:p w:rsidR="0099632B" w:rsidRDefault="0099632B" w:rsidP="0099632B">
            <w:pPr>
              <w:jc w:val="center"/>
            </w:pPr>
            <w:r>
              <w:t>1200</w:t>
            </w:r>
          </w:p>
        </w:tc>
        <w:tc>
          <w:tcPr>
            <w:tcW w:w="3219" w:type="dxa"/>
          </w:tcPr>
          <w:p w:rsidR="0099632B" w:rsidRDefault="005D6C34">
            <w:r>
              <w:t>Pipe bomb</w:t>
            </w:r>
          </w:p>
        </w:tc>
      </w:tr>
      <w:tr w:rsidR="0099632B" w:rsidTr="00204F77">
        <w:tc>
          <w:tcPr>
            <w:tcW w:w="1345" w:type="dxa"/>
          </w:tcPr>
          <w:p w:rsidR="0099632B" w:rsidRDefault="0099632B">
            <w:r>
              <w:t>20</w:t>
            </w:r>
          </w:p>
        </w:tc>
        <w:tc>
          <w:tcPr>
            <w:tcW w:w="1052" w:type="dxa"/>
          </w:tcPr>
          <w:p w:rsidR="0099632B" w:rsidRDefault="0099632B" w:rsidP="00054D43">
            <w:pPr>
              <w:jc w:val="center"/>
            </w:pPr>
            <w:r>
              <w:t>200</w:t>
            </w:r>
          </w:p>
        </w:tc>
        <w:tc>
          <w:tcPr>
            <w:tcW w:w="918" w:type="dxa"/>
          </w:tcPr>
          <w:p w:rsidR="0099632B" w:rsidRDefault="0099632B" w:rsidP="00054D43">
            <w:pPr>
              <w:jc w:val="center"/>
            </w:pPr>
            <w:r>
              <w:t>529</w:t>
            </w:r>
          </w:p>
        </w:tc>
        <w:tc>
          <w:tcPr>
            <w:tcW w:w="1346" w:type="dxa"/>
          </w:tcPr>
          <w:p w:rsidR="0099632B" w:rsidRDefault="0099632B" w:rsidP="0099632B">
            <w:pPr>
              <w:jc w:val="center"/>
            </w:pPr>
            <w:r>
              <w:t>250</w:t>
            </w:r>
          </w:p>
        </w:tc>
        <w:tc>
          <w:tcPr>
            <w:tcW w:w="859" w:type="dxa"/>
          </w:tcPr>
          <w:p w:rsidR="0099632B" w:rsidRDefault="0099632B" w:rsidP="0099632B">
            <w:pPr>
              <w:jc w:val="center"/>
            </w:pPr>
            <w:r>
              <w:t>110</w:t>
            </w:r>
          </w:p>
        </w:tc>
        <w:tc>
          <w:tcPr>
            <w:tcW w:w="976" w:type="dxa"/>
          </w:tcPr>
          <w:p w:rsidR="0099632B" w:rsidRDefault="0099632B" w:rsidP="0099632B">
            <w:pPr>
              <w:jc w:val="center"/>
            </w:pPr>
            <w:r>
              <w:t>1700</w:t>
            </w:r>
          </w:p>
        </w:tc>
        <w:tc>
          <w:tcPr>
            <w:tcW w:w="3219" w:type="dxa"/>
          </w:tcPr>
          <w:p w:rsidR="0099632B" w:rsidRDefault="005D6C34">
            <w:r>
              <w:t>Suicide bomber (vest)</w:t>
            </w:r>
          </w:p>
        </w:tc>
      </w:tr>
      <w:tr w:rsidR="0099632B" w:rsidTr="00204F77">
        <w:tc>
          <w:tcPr>
            <w:tcW w:w="1345" w:type="dxa"/>
          </w:tcPr>
          <w:p w:rsidR="0099632B" w:rsidRDefault="0099632B">
            <w:r>
              <w:t>50</w:t>
            </w:r>
          </w:p>
        </w:tc>
        <w:tc>
          <w:tcPr>
            <w:tcW w:w="1052" w:type="dxa"/>
          </w:tcPr>
          <w:p w:rsidR="0099632B" w:rsidRDefault="0099632B" w:rsidP="00054D43">
            <w:pPr>
              <w:jc w:val="center"/>
            </w:pPr>
            <w:r>
              <w:t>388</w:t>
            </w:r>
          </w:p>
        </w:tc>
        <w:tc>
          <w:tcPr>
            <w:tcW w:w="918" w:type="dxa"/>
          </w:tcPr>
          <w:p w:rsidR="0099632B" w:rsidRDefault="0099632B" w:rsidP="00054D43">
            <w:pPr>
              <w:jc w:val="center"/>
            </w:pPr>
            <w:r>
              <w:t>601</w:t>
            </w:r>
          </w:p>
        </w:tc>
        <w:tc>
          <w:tcPr>
            <w:tcW w:w="1346" w:type="dxa"/>
          </w:tcPr>
          <w:p w:rsidR="0099632B" w:rsidRDefault="0099632B" w:rsidP="0099632B">
            <w:pPr>
              <w:jc w:val="center"/>
            </w:pPr>
            <w:r>
              <w:t>340</w:t>
            </w:r>
          </w:p>
        </w:tc>
        <w:tc>
          <w:tcPr>
            <w:tcW w:w="859" w:type="dxa"/>
          </w:tcPr>
          <w:p w:rsidR="0099632B" w:rsidRDefault="0099632B" w:rsidP="0099632B">
            <w:pPr>
              <w:jc w:val="center"/>
            </w:pPr>
            <w:r>
              <w:t>150</w:t>
            </w:r>
          </w:p>
        </w:tc>
        <w:tc>
          <w:tcPr>
            <w:tcW w:w="976" w:type="dxa"/>
          </w:tcPr>
          <w:p w:rsidR="0099632B" w:rsidRDefault="0099632B" w:rsidP="0099632B">
            <w:pPr>
              <w:jc w:val="center"/>
            </w:pPr>
            <w:r>
              <w:t>1850</w:t>
            </w:r>
          </w:p>
        </w:tc>
        <w:tc>
          <w:tcPr>
            <w:tcW w:w="3219" w:type="dxa"/>
          </w:tcPr>
          <w:p w:rsidR="0099632B" w:rsidRDefault="005D6C34">
            <w:r>
              <w:t>Briefcase/Suitcase</w:t>
            </w:r>
          </w:p>
        </w:tc>
      </w:tr>
      <w:tr w:rsidR="0099632B" w:rsidTr="00204F77">
        <w:tc>
          <w:tcPr>
            <w:tcW w:w="1345" w:type="dxa"/>
          </w:tcPr>
          <w:p w:rsidR="0099632B" w:rsidRDefault="0099632B">
            <w:r>
              <w:t>500</w:t>
            </w:r>
          </w:p>
        </w:tc>
        <w:tc>
          <w:tcPr>
            <w:tcW w:w="1052" w:type="dxa"/>
          </w:tcPr>
          <w:p w:rsidR="0099632B" w:rsidRDefault="0099632B" w:rsidP="00054D43">
            <w:pPr>
              <w:jc w:val="center"/>
            </w:pPr>
            <w:r>
              <w:t>1250</w:t>
            </w:r>
          </w:p>
        </w:tc>
        <w:tc>
          <w:tcPr>
            <w:tcW w:w="918" w:type="dxa"/>
          </w:tcPr>
          <w:p w:rsidR="0099632B" w:rsidRDefault="0099632B" w:rsidP="00054D43">
            <w:pPr>
              <w:jc w:val="center"/>
            </w:pPr>
          </w:p>
        </w:tc>
        <w:tc>
          <w:tcPr>
            <w:tcW w:w="1346" w:type="dxa"/>
          </w:tcPr>
          <w:p w:rsidR="0099632B" w:rsidRDefault="0099632B" w:rsidP="0099632B">
            <w:pPr>
              <w:jc w:val="center"/>
            </w:pPr>
            <w:r>
              <w:t>680</w:t>
            </w:r>
          </w:p>
        </w:tc>
        <w:tc>
          <w:tcPr>
            <w:tcW w:w="859" w:type="dxa"/>
          </w:tcPr>
          <w:p w:rsidR="0099632B" w:rsidRDefault="0099632B" w:rsidP="0099632B">
            <w:pPr>
              <w:jc w:val="center"/>
            </w:pPr>
            <w:r>
              <w:t>320</w:t>
            </w:r>
          </w:p>
        </w:tc>
        <w:tc>
          <w:tcPr>
            <w:tcW w:w="976" w:type="dxa"/>
          </w:tcPr>
          <w:p w:rsidR="0099632B" w:rsidRDefault="0099632B" w:rsidP="0099632B">
            <w:pPr>
              <w:jc w:val="center"/>
            </w:pPr>
            <w:r>
              <w:t>1500</w:t>
            </w:r>
          </w:p>
        </w:tc>
        <w:tc>
          <w:tcPr>
            <w:tcW w:w="3219" w:type="dxa"/>
          </w:tcPr>
          <w:p w:rsidR="0099632B" w:rsidRDefault="005D6C34">
            <w:r>
              <w:t>Car</w:t>
            </w:r>
          </w:p>
        </w:tc>
      </w:tr>
      <w:tr w:rsidR="0099632B" w:rsidTr="00204F77">
        <w:tc>
          <w:tcPr>
            <w:tcW w:w="1345" w:type="dxa"/>
          </w:tcPr>
          <w:p w:rsidR="0099632B" w:rsidRDefault="0099632B">
            <w:r>
              <w:t>1000</w:t>
            </w:r>
          </w:p>
        </w:tc>
        <w:tc>
          <w:tcPr>
            <w:tcW w:w="1052" w:type="dxa"/>
          </w:tcPr>
          <w:p w:rsidR="0099632B" w:rsidRDefault="0099632B" w:rsidP="00054D43">
            <w:pPr>
              <w:jc w:val="center"/>
            </w:pPr>
            <w:r>
              <w:t>1250</w:t>
            </w:r>
          </w:p>
        </w:tc>
        <w:tc>
          <w:tcPr>
            <w:tcW w:w="918" w:type="dxa"/>
          </w:tcPr>
          <w:p w:rsidR="0099632B" w:rsidRDefault="0099632B" w:rsidP="00054D43">
            <w:pPr>
              <w:jc w:val="center"/>
            </w:pPr>
          </w:p>
        </w:tc>
        <w:tc>
          <w:tcPr>
            <w:tcW w:w="1346" w:type="dxa"/>
          </w:tcPr>
          <w:p w:rsidR="0099632B" w:rsidRDefault="0099632B" w:rsidP="0099632B">
            <w:pPr>
              <w:jc w:val="center"/>
            </w:pPr>
            <w:r>
              <w:t>850</w:t>
            </w:r>
          </w:p>
        </w:tc>
        <w:tc>
          <w:tcPr>
            <w:tcW w:w="859" w:type="dxa"/>
          </w:tcPr>
          <w:p w:rsidR="0099632B" w:rsidRDefault="0099632B" w:rsidP="0099632B">
            <w:pPr>
              <w:jc w:val="center"/>
            </w:pPr>
            <w:r>
              <w:t>400</w:t>
            </w:r>
          </w:p>
        </w:tc>
        <w:tc>
          <w:tcPr>
            <w:tcW w:w="976" w:type="dxa"/>
          </w:tcPr>
          <w:p w:rsidR="0099632B" w:rsidRDefault="0099632B" w:rsidP="0099632B">
            <w:pPr>
              <w:jc w:val="center"/>
            </w:pPr>
            <w:r>
              <w:t>2400</w:t>
            </w:r>
          </w:p>
        </w:tc>
        <w:tc>
          <w:tcPr>
            <w:tcW w:w="3219" w:type="dxa"/>
          </w:tcPr>
          <w:p w:rsidR="0099632B" w:rsidRDefault="005D6C34">
            <w:r>
              <w:t>SUV/Van</w:t>
            </w:r>
          </w:p>
        </w:tc>
      </w:tr>
      <w:tr w:rsidR="0099632B" w:rsidTr="00204F77">
        <w:tc>
          <w:tcPr>
            <w:tcW w:w="1345" w:type="dxa"/>
          </w:tcPr>
          <w:p w:rsidR="0099632B" w:rsidRDefault="0099632B">
            <w:r>
              <w:t>4000</w:t>
            </w:r>
          </w:p>
        </w:tc>
        <w:tc>
          <w:tcPr>
            <w:tcW w:w="1052" w:type="dxa"/>
          </w:tcPr>
          <w:p w:rsidR="0099632B" w:rsidRDefault="0099632B" w:rsidP="00054D43">
            <w:pPr>
              <w:jc w:val="center"/>
            </w:pPr>
            <w:r>
              <w:t>1250</w:t>
            </w:r>
          </w:p>
        </w:tc>
        <w:tc>
          <w:tcPr>
            <w:tcW w:w="918" w:type="dxa"/>
          </w:tcPr>
          <w:p w:rsidR="0099632B" w:rsidRDefault="0099632B" w:rsidP="00054D43">
            <w:pPr>
              <w:jc w:val="center"/>
            </w:pPr>
          </w:p>
        </w:tc>
        <w:tc>
          <w:tcPr>
            <w:tcW w:w="1346" w:type="dxa"/>
          </w:tcPr>
          <w:p w:rsidR="0099632B" w:rsidRDefault="0099632B" w:rsidP="0099632B">
            <w:pPr>
              <w:jc w:val="center"/>
            </w:pPr>
            <w:r>
              <w:t>1370</w:t>
            </w:r>
          </w:p>
        </w:tc>
        <w:tc>
          <w:tcPr>
            <w:tcW w:w="859" w:type="dxa"/>
          </w:tcPr>
          <w:p w:rsidR="0099632B" w:rsidRDefault="0099632B" w:rsidP="0099632B">
            <w:pPr>
              <w:jc w:val="center"/>
            </w:pPr>
            <w:r>
              <w:t>640</w:t>
            </w:r>
          </w:p>
        </w:tc>
        <w:tc>
          <w:tcPr>
            <w:tcW w:w="976" w:type="dxa"/>
          </w:tcPr>
          <w:p w:rsidR="0099632B" w:rsidRDefault="0099632B" w:rsidP="0099632B">
            <w:pPr>
              <w:jc w:val="center"/>
            </w:pPr>
            <w:r>
              <w:t>3800</w:t>
            </w:r>
          </w:p>
        </w:tc>
        <w:tc>
          <w:tcPr>
            <w:tcW w:w="3219" w:type="dxa"/>
          </w:tcPr>
          <w:p w:rsidR="0099632B" w:rsidRDefault="005D6C34">
            <w:r>
              <w:t>Small Moving Van/Delivery Truck</w:t>
            </w:r>
          </w:p>
        </w:tc>
      </w:tr>
      <w:tr w:rsidR="0099632B" w:rsidTr="00204F77">
        <w:tc>
          <w:tcPr>
            <w:tcW w:w="1345" w:type="dxa"/>
          </w:tcPr>
          <w:p w:rsidR="0099632B" w:rsidRDefault="0099632B">
            <w:r>
              <w:t>10000</w:t>
            </w:r>
          </w:p>
        </w:tc>
        <w:tc>
          <w:tcPr>
            <w:tcW w:w="1052" w:type="dxa"/>
          </w:tcPr>
          <w:p w:rsidR="0099632B" w:rsidRDefault="0099632B" w:rsidP="00054D43">
            <w:pPr>
              <w:jc w:val="center"/>
            </w:pPr>
            <w:r>
              <w:t>1250</w:t>
            </w:r>
          </w:p>
        </w:tc>
        <w:tc>
          <w:tcPr>
            <w:tcW w:w="918" w:type="dxa"/>
          </w:tcPr>
          <w:p w:rsidR="0099632B" w:rsidRDefault="0099632B" w:rsidP="00054D43">
            <w:pPr>
              <w:jc w:val="center"/>
            </w:pPr>
          </w:p>
        </w:tc>
        <w:tc>
          <w:tcPr>
            <w:tcW w:w="1346" w:type="dxa"/>
          </w:tcPr>
          <w:p w:rsidR="0099632B" w:rsidRDefault="0099632B" w:rsidP="0099632B">
            <w:pPr>
              <w:jc w:val="center"/>
            </w:pPr>
            <w:r>
              <w:t>1750</w:t>
            </w:r>
          </w:p>
        </w:tc>
        <w:tc>
          <w:tcPr>
            <w:tcW w:w="859" w:type="dxa"/>
          </w:tcPr>
          <w:p w:rsidR="0099632B" w:rsidRDefault="0099632B" w:rsidP="0099632B">
            <w:pPr>
              <w:jc w:val="center"/>
            </w:pPr>
            <w:r>
              <w:t>860</w:t>
            </w:r>
          </w:p>
        </w:tc>
        <w:tc>
          <w:tcPr>
            <w:tcW w:w="976" w:type="dxa"/>
          </w:tcPr>
          <w:p w:rsidR="0099632B" w:rsidRDefault="0099632B" w:rsidP="0099632B">
            <w:pPr>
              <w:jc w:val="center"/>
            </w:pPr>
            <w:r>
              <w:t>5100</w:t>
            </w:r>
          </w:p>
        </w:tc>
        <w:tc>
          <w:tcPr>
            <w:tcW w:w="3219" w:type="dxa"/>
          </w:tcPr>
          <w:p w:rsidR="0099632B" w:rsidRDefault="005D6C34">
            <w:r>
              <w:t>Moving Van/Water Truck</w:t>
            </w:r>
          </w:p>
        </w:tc>
      </w:tr>
      <w:tr w:rsidR="0099632B" w:rsidTr="00204F77">
        <w:tc>
          <w:tcPr>
            <w:tcW w:w="1345" w:type="dxa"/>
          </w:tcPr>
          <w:p w:rsidR="0099632B" w:rsidRDefault="0099632B">
            <w:r>
              <w:t>60000</w:t>
            </w:r>
          </w:p>
        </w:tc>
        <w:tc>
          <w:tcPr>
            <w:tcW w:w="1052" w:type="dxa"/>
          </w:tcPr>
          <w:p w:rsidR="0099632B" w:rsidRDefault="0099632B" w:rsidP="00054D43">
            <w:pPr>
              <w:jc w:val="center"/>
            </w:pPr>
            <w:r>
              <w:t>1562</w:t>
            </w:r>
          </w:p>
        </w:tc>
        <w:tc>
          <w:tcPr>
            <w:tcW w:w="918" w:type="dxa"/>
          </w:tcPr>
          <w:p w:rsidR="0099632B" w:rsidRDefault="0099632B" w:rsidP="00054D43">
            <w:pPr>
              <w:jc w:val="center"/>
            </w:pPr>
          </w:p>
        </w:tc>
        <w:tc>
          <w:tcPr>
            <w:tcW w:w="1346" w:type="dxa"/>
          </w:tcPr>
          <w:p w:rsidR="0099632B" w:rsidRDefault="0099632B" w:rsidP="0099632B">
            <w:pPr>
              <w:jc w:val="center"/>
            </w:pPr>
            <w:r>
              <w:t>2000</w:t>
            </w:r>
          </w:p>
        </w:tc>
        <w:tc>
          <w:tcPr>
            <w:tcW w:w="859" w:type="dxa"/>
          </w:tcPr>
          <w:p w:rsidR="0099632B" w:rsidRDefault="0099632B" w:rsidP="0099632B">
            <w:pPr>
              <w:jc w:val="center"/>
            </w:pPr>
            <w:r>
              <w:t>1570</w:t>
            </w:r>
          </w:p>
        </w:tc>
        <w:tc>
          <w:tcPr>
            <w:tcW w:w="976" w:type="dxa"/>
          </w:tcPr>
          <w:p w:rsidR="0099632B" w:rsidRDefault="0099632B" w:rsidP="0099632B">
            <w:pPr>
              <w:jc w:val="center"/>
            </w:pPr>
            <w:r>
              <w:t>9300</w:t>
            </w:r>
          </w:p>
        </w:tc>
        <w:tc>
          <w:tcPr>
            <w:tcW w:w="3219" w:type="dxa"/>
          </w:tcPr>
          <w:p w:rsidR="0099632B" w:rsidRDefault="005D6C34">
            <w:r>
              <w:t>Semi-Trailer</w:t>
            </w:r>
          </w:p>
        </w:tc>
      </w:tr>
    </w:tbl>
    <w:p w:rsidR="00A173BA" w:rsidRDefault="00A173BA"/>
    <w:p w:rsidR="00ED2C5B" w:rsidRDefault="00ED2C5B">
      <w:r>
        <w:t>DHS=Department of Homeland Security</w:t>
      </w:r>
      <w:bookmarkStart w:id="0" w:name="_GoBack"/>
      <w:bookmarkEnd w:id="0"/>
    </w:p>
    <w:p w:rsidR="00ED2C5B" w:rsidRPr="00ED2C5B" w:rsidRDefault="00ED2C5B" w:rsidP="00ED2C5B">
      <w:pPr>
        <w:pStyle w:val="Pa0"/>
        <w:ind w:left="270"/>
        <w:rPr>
          <w:rFonts w:asciiTheme="minorHAnsi" w:hAnsiTheme="minorHAnsi"/>
          <w:sz w:val="22"/>
          <w:szCs w:val="22"/>
        </w:rPr>
      </w:pPr>
      <w:r w:rsidRPr="00ED2C5B">
        <w:rPr>
          <w:rFonts w:asciiTheme="minorHAnsi" w:hAnsiTheme="minorHAnsi"/>
          <w:sz w:val="22"/>
          <w:szCs w:val="22"/>
        </w:rPr>
        <w:t>1. These capacities are based on the maximum weight of explosive material that could reasonably fit in a container of similar size.</w:t>
      </w:r>
    </w:p>
    <w:p w:rsidR="00ED2C5B" w:rsidRPr="00ED2C5B" w:rsidRDefault="00ED2C5B" w:rsidP="00ED2C5B">
      <w:pPr>
        <w:pStyle w:val="Pa0"/>
        <w:ind w:left="270"/>
        <w:rPr>
          <w:rFonts w:asciiTheme="minorHAnsi" w:hAnsiTheme="minorHAnsi"/>
          <w:sz w:val="22"/>
          <w:szCs w:val="22"/>
        </w:rPr>
      </w:pPr>
      <w:r w:rsidRPr="00ED2C5B">
        <w:rPr>
          <w:rFonts w:asciiTheme="minorHAnsi" w:hAnsiTheme="minorHAnsi"/>
          <w:sz w:val="22"/>
          <w:szCs w:val="22"/>
        </w:rPr>
        <w:t xml:space="preserve">2. Personnel in buildings are provided a high degree of protection from death or serious injury; however, glass breakage and building debris may still cause some injuries. </w:t>
      </w:r>
      <w:proofErr w:type="spellStart"/>
      <w:r w:rsidRPr="00ED2C5B">
        <w:rPr>
          <w:rFonts w:asciiTheme="minorHAnsi" w:hAnsiTheme="minorHAnsi"/>
          <w:sz w:val="22"/>
          <w:szCs w:val="22"/>
        </w:rPr>
        <w:t>Unstrengthened</w:t>
      </w:r>
      <w:proofErr w:type="spellEnd"/>
      <w:r w:rsidRPr="00ED2C5B">
        <w:rPr>
          <w:rFonts w:asciiTheme="minorHAnsi" w:hAnsiTheme="minorHAnsi"/>
          <w:sz w:val="22"/>
          <w:szCs w:val="22"/>
        </w:rPr>
        <w:t xml:space="preserve"> buildings can be expected to sustain damage that approximates five percent of their replacement cost. </w:t>
      </w:r>
    </w:p>
    <w:p w:rsidR="00ED2C5B" w:rsidRPr="00ED2C5B" w:rsidRDefault="00ED2C5B" w:rsidP="00ED2C5B">
      <w:pPr>
        <w:ind w:left="270"/>
      </w:pPr>
      <w:r w:rsidRPr="00ED2C5B">
        <w:t xml:space="preserve">3. If personnel cannot enter a building to seek shelter they must evacuate to the minimum distance recommended by Outdoor Evacuation Distance. </w:t>
      </w:r>
      <w:proofErr w:type="gramStart"/>
      <w:r w:rsidRPr="00ED2C5B">
        <w:t>These distance</w:t>
      </w:r>
      <w:proofErr w:type="gramEnd"/>
      <w:r w:rsidRPr="00ED2C5B">
        <w:t xml:space="preserve"> </w:t>
      </w:r>
      <w:r w:rsidR="001B2527">
        <w:t>is</w:t>
      </w:r>
      <w:r w:rsidRPr="00ED2C5B">
        <w:t xml:space="preserve"> governed by the greater hazard of fragmentation distance, glass breakage or threshold for ear drum rupture.</w:t>
      </w:r>
    </w:p>
    <w:p w:rsidR="00ED2C5B" w:rsidRDefault="00ED2C5B">
      <w:r>
        <w:t>IME=Institute of Makers of Explosives</w:t>
      </w:r>
    </w:p>
    <w:p w:rsidR="00ED2C5B" w:rsidRDefault="00ED2C5B">
      <w:r>
        <w:t>ATD=American Table of Distances</w:t>
      </w:r>
    </w:p>
    <w:p w:rsidR="00ED2C5B" w:rsidRDefault="00ED2C5B" w:rsidP="00ED2C5B">
      <w:pPr>
        <w:ind w:left="270"/>
      </w:pPr>
      <w:r>
        <w:t>American Table of Distances for Storage of Explosive Materials</w:t>
      </w:r>
      <w:r>
        <w:t xml:space="preserve"> - </w:t>
      </w:r>
      <w:r>
        <w:t>as Revised and Approved by the Institute of Makers of Explosives – June 1991</w:t>
      </w:r>
    </w:p>
    <w:p w:rsidR="00ED2C5B" w:rsidRDefault="00ED2C5B" w:rsidP="00ED2C5B">
      <w:r>
        <w:t>ASME</w:t>
      </w:r>
      <w:r w:rsidR="007F7065">
        <w:t xml:space="preserve"> PCC-2-2018</w:t>
      </w:r>
    </w:p>
    <w:p w:rsidR="00ED2C5B" w:rsidRDefault="00ED2C5B" w:rsidP="00ED2C5B">
      <w:pPr>
        <w:ind w:left="270"/>
      </w:pPr>
      <w:r>
        <w:t>GENERAL NOTE: Based on American Table of Distances published by the Institute of Makers of Explosives. Lengths are for inhabited buildings,</w:t>
      </w:r>
      <w:r>
        <w:t xml:space="preserve"> </w:t>
      </w:r>
      <w:r>
        <w:t>unbarricaded.</w:t>
      </w:r>
    </w:p>
    <w:sectPr w:rsidR="00ED2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LT St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BA"/>
    <w:rsid w:val="00012089"/>
    <w:rsid w:val="00054D43"/>
    <w:rsid w:val="00083F8B"/>
    <w:rsid w:val="001B2527"/>
    <w:rsid w:val="00204F77"/>
    <w:rsid w:val="0033518A"/>
    <w:rsid w:val="003813B0"/>
    <w:rsid w:val="0041595C"/>
    <w:rsid w:val="00434786"/>
    <w:rsid w:val="0051694A"/>
    <w:rsid w:val="005A2734"/>
    <w:rsid w:val="005D6C34"/>
    <w:rsid w:val="006A320C"/>
    <w:rsid w:val="007F7065"/>
    <w:rsid w:val="00820853"/>
    <w:rsid w:val="008E16E1"/>
    <w:rsid w:val="0099632B"/>
    <w:rsid w:val="00A173BA"/>
    <w:rsid w:val="00A53705"/>
    <w:rsid w:val="00A6350F"/>
    <w:rsid w:val="00BE590C"/>
    <w:rsid w:val="00C613BB"/>
    <w:rsid w:val="00ED2C5B"/>
    <w:rsid w:val="00F525DE"/>
    <w:rsid w:val="00FB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1413"/>
  <w15:chartTrackingRefBased/>
  <w15:docId w15:val="{27C4FAEF-9695-48F1-8A23-A1633F2A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2C5B"/>
    <w:pPr>
      <w:autoSpaceDE w:val="0"/>
      <w:autoSpaceDN w:val="0"/>
      <w:adjustRightInd w:val="0"/>
      <w:spacing w:after="0" w:line="240" w:lineRule="auto"/>
    </w:pPr>
    <w:rPr>
      <w:rFonts w:ascii="Helvetica LT Std" w:hAnsi="Helvetica LT Std" w:cs="Helvetica LT Std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ED2C5B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ED2C5B"/>
    <w:rPr>
      <w:rFonts w:cs="Helvetica LT Std"/>
      <w:color w:val="211D1E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Neal, Gerald F. (MSFC-QD12)[BASTION TECHNOLOGIES]</dc:creator>
  <cp:keywords/>
  <dc:description/>
  <cp:lastModifiedBy>Neal, Gerald F. (MSFC-QD12)[BASTION TECHNOLOGIES]</cp:lastModifiedBy>
  <cp:revision>19</cp:revision>
  <dcterms:created xsi:type="dcterms:W3CDTF">2020-06-03T12:07:00Z</dcterms:created>
  <dcterms:modified xsi:type="dcterms:W3CDTF">2020-06-03T15:03:00Z</dcterms:modified>
</cp:coreProperties>
</file>