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Display" w:hAnsi="Aptos Display"/>
          <w:b/>
          <w:color w:val="1F4E79"/>
          <w:sz w:val="50"/>
        </w:rPr>
        <w:t>Note technique SERVIER</w:t>
      </w:r>
    </w:p>
    <w:p>
      <w:pPr>
        <w:spacing w:after="100"/>
        <w:jc w:val="center"/>
      </w:pPr>
      <w:r>
        <w:rPr>
          <w:rFonts w:ascii="Aptos" w:hAnsi="Aptos"/>
          <w:i/>
          <w:color w:val="595959"/>
          <w:sz w:val="26"/>
        </w:rPr>
        <w:t>Architecture IA, modernisation et trajectoire de delivery</w:t>
      </w:r>
    </w:p>
    <w:p>
      <w:pPr>
        <w:spacing w:after="10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40"/>
            </w:pPr>
            <w:r>
              <w:rPr>
                <w:rFonts w:ascii="Aptos" w:hAnsi="Aptos"/>
                <w:sz w:val="18"/>
              </w:rPr>
              <w:t>Angle</w:t>
            </w:r>
          </w:p>
        </w:tc>
        <w:tc>
          <w:tcPr>
            <w:tcW w:type="dxa" w:w="2520"/>
            <w:shd w:fill="D9EAF7"/>
            <w:vAlign w:val="center"/>
          </w:tcPr>
          <w:p>
            <w:pPr>
              <w:spacing w:after="40"/>
            </w:pPr>
            <w:r>
              <w:rPr>
                <w:rFonts w:ascii="Aptos" w:hAnsi="Aptos"/>
                <w:sz w:val="18"/>
              </w:rPr>
              <w:t>Choix</w:t>
            </w:r>
          </w:p>
        </w:tc>
        <w:tc>
          <w:tcPr>
            <w:tcW w:type="dxa" w:w="2520"/>
            <w:shd w:fill="D9EAF7"/>
            <w:vAlign w:val="center"/>
          </w:tcPr>
          <w:p>
            <w:pPr>
              <w:spacing w:after="40"/>
            </w:pPr>
            <w:r>
              <w:rPr>
                <w:rFonts w:ascii="Aptos" w:hAnsi="Aptos"/>
                <w:sz w:val="18"/>
              </w:rPr>
              <w:t>Preuve</w:t>
            </w:r>
          </w:p>
        </w:tc>
        <w:tc>
          <w:tcPr>
            <w:tcW w:type="dxa" w:w="2520"/>
            <w:shd w:fill="D9EAF7"/>
            <w:vAlign w:val="center"/>
          </w:tcPr>
          <w:p>
            <w:pPr>
              <w:spacing w:after="40"/>
            </w:pPr>
            <w:r>
              <w:rPr>
                <w:rFonts w:ascii="Aptos" w:hAnsi="Aptos"/>
                <w:sz w:val="18"/>
              </w:rPr>
              <w:t>Trajectoire</w:t>
            </w:r>
          </w:p>
        </w:tc>
      </w:tr>
      <w:tr>
        <w:tc>
          <w:tcPr>
            <w:tcW w:type="dxa" w:w="2520"/>
          </w:tcPr>
          <w:p>
            <w:pPr>
              <w:spacing w:after="40"/>
            </w:pPr>
            <w:r>
              <w:rPr>
                <w:rFonts w:ascii="Aptos" w:hAnsi="Aptos"/>
                <w:sz w:val="18"/>
              </w:rPr>
              <w:t>Tech Lead IA</w:t>
            </w:r>
          </w:p>
        </w:tc>
        <w:tc>
          <w:tcPr>
            <w:tcW w:type="dxa" w:w="2520"/>
          </w:tcPr>
          <w:p>
            <w:pPr>
              <w:spacing w:after="40"/>
            </w:pPr>
            <w:r>
              <w:rPr>
                <w:rFonts w:ascii="Aptos" w:hAnsi="Aptos"/>
                <w:sz w:val="18"/>
              </w:rPr>
              <w:t>Monorepo Turborepo à frontières de services</w:t>
            </w:r>
          </w:p>
        </w:tc>
        <w:tc>
          <w:tcPr>
            <w:tcW w:type="dxa" w:w="2520"/>
          </w:tcPr>
          <w:p>
            <w:pPr>
              <w:spacing w:after="40"/>
            </w:pPr>
            <w:r>
              <w:rPr>
                <w:rFonts w:ascii="Aptos" w:hAnsi="Aptos"/>
                <w:sz w:val="18"/>
              </w:rPr>
              <w:t>Tests, types, build, audit et documentation</w:t>
            </w:r>
          </w:p>
        </w:tc>
        <w:tc>
          <w:tcPr>
            <w:tcW w:type="dxa" w:w="2520"/>
          </w:tcPr>
          <w:p>
            <w:pPr>
              <w:spacing w:after="40"/>
            </w:pPr>
            <w:r>
              <w:rPr>
                <w:rFonts w:ascii="Aptos" w:hAnsi="Aptos"/>
                <w:sz w:val="18"/>
              </w:rPr>
              <w:t>Azure Container Apps, PostgreSQL, observabilité et assistant RAG</w:t>
            </w:r>
          </w:p>
        </w:tc>
      </w:tr>
    </w:tbl>
    <w:p>
      <w:pPr>
        <w:pStyle w:val="Heading1"/>
        <w:spacing w:after="100"/>
      </w:pPr>
      <w:r>
        <w:rPr>
          <w:rFonts w:ascii="Aptos" w:hAnsi="Aptos"/>
        </w:rPr>
        <w:t>1. Synthèse exécutive</w:t>
      </w:r>
    </w:p>
    <w:p>
      <w:pPr>
        <w:spacing w:after="100"/>
      </w:pPr>
      <w:r>
        <w:rPr>
          <w:rFonts w:ascii="Aptos" w:hAnsi="Aptos"/>
        </w:rPr>
        <w:t>Le test SERVIER a été traité comme un mini-produit démontrable plutôt que comme un simple exercice algorithmique. L'objectif est de transformer une règle métier de recettes et d'inventaire en expérience applicative lisible, testable et industrialisable, avec une boucle de preuve visible pour un évaluateur technique.</w:t>
      </w:r>
    </w:p>
    <w:p>
      <w:pPr>
        <w:spacing w:after="100"/>
      </w:pPr>
      <w:r>
        <w:rPr>
          <w:rFonts w:ascii="Aptos" w:hAnsi="Aptos"/>
        </w:rPr>
        <w:t>La livraison combine une interface Next.js, une API NestJS, un domaine TypeScript déterministe et une base PostgreSQL-ready. Cette organisation permet de montrer la compréhension du besoin, la vitesse de réalisation et la capacité à préserver la qualité malgré un périmètre volontairement resserré.</w:t>
      </w:r>
    </w:p>
    <w:p>
      <w:pPr>
        <w:spacing w:after="100"/>
      </w:pPr>
      <w:r>
        <w:rPr>
          <w:rFonts w:ascii="Aptos" w:hAnsi="Aptos"/>
        </w:rPr>
        <w:t>La logique de preuve repose sur le code, les tests, la documentation d'architecture, les commandes de vérification et une lecture critique du résultat. L'IA est positionnée comme capacité de delivery encadrée, pas comme raccourci non maîtrisé.</w:t>
      </w:r>
    </w:p>
    <w:p>
      <w:pPr>
        <w:pStyle w:val="Heading1"/>
        <w:spacing w:after="100"/>
      </w:pPr>
      <w:r>
        <w:rPr>
          <w:rFonts w:ascii="Aptos" w:hAnsi="Aptos"/>
        </w:rPr>
        <w:t>2. Monolithe modulaire vs miniservices</w:t>
      </w:r>
    </w:p>
    <w:p>
      <w:pPr>
        <w:spacing w:after="100"/>
      </w:pPr>
      <w:r>
        <w:rPr>
          <w:rFonts w:ascii="Aptos" w:hAnsi="Aptos"/>
        </w:rPr>
        <w:t>Le choix n'est ni un monolithe classique ni une dispersion prématurée en microservices. La solution adopte un monorepo modulaire qui conserve la vitesse d'exécution d'un monolithe tout en posant des frontières proches de miniservices, prêtes à être extraites si l'organisation, la scalabilité ou la gouvernance l'exigent.</w:t>
      </w:r>
    </w:p>
    <w:p>
      <w:pPr>
        <w:spacing w:after="100"/>
      </w:pPr>
      <w:r>
        <w:rPr>
          <w:rFonts w:ascii="Aptos" w:hAnsi="Aptos"/>
        </w:rPr>
        <w:t>Les frontières applicatives sont explicites : apps/web porte l'expérience utilisateur, apps/api expose les contrats serveur, packages/domain isole les règles métier déterministes, packages/db formalise la trajectoire PostgreSQL et packages/typescript-config garantit une base TypeScript stricte partagée.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pPr>
              <w:spacing w:after="40"/>
            </w:pPr>
            <w:r>
              <w:rPr>
                <w:rFonts w:ascii="Aptos" w:hAnsi="Aptos"/>
                <w:sz w:val="18"/>
              </w:rPr>
              <w:t>Modèle</w:t>
            </w:r>
          </w:p>
        </w:tc>
        <w:tc>
          <w:tcPr>
            <w:tcW w:type="dxa" w:w="2520"/>
            <w:shd w:fill="D9EAF7"/>
          </w:tcPr>
          <w:p>
            <w:pPr>
              <w:spacing w:after="40"/>
            </w:pPr>
            <w:r>
              <w:rPr>
                <w:rFonts w:ascii="Aptos" w:hAnsi="Aptos"/>
                <w:sz w:val="18"/>
              </w:rPr>
              <w:t>Bénéfice</w:t>
            </w:r>
          </w:p>
        </w:tc>
        <w:tc>
          <w:tcPr>
            <w:tcW w:type="dxa" w:w="2520"/>
            <w:shd w:fill="D9EAF7"/>
          </w:tcPr>
          <w:p>
            <w:pPr>
              <w:spacing w:after="40"/>
            </w:pPr>
            <w:r>
              <w:rPr>
                <w:rFonts w:ascii="Aptos" w:hAnsi="Aptos"/>
                <w:sz w:val="18"/>
              </w:rPr>
              <w:t>Limite</w:t>
            </w:r>
          </w:p>
        </w:tc>
        <w:tc>
          <w:tcPr>
            <w:tcW w:type="dxa" w:w="2520"/>
            <w:shd w:fill="D9EAF7"/>
          </w:tcPr>
          <w:p>
            <w:pPr>
              <w:spacing w:after="40"/>
            </w:pPr>
            <w:r>
              <w:rPr>
                <w:rFonts w:ascii="Aptos" w:hAnsi="Aptos"/>
                <w:sz w:val="18"/>
              </w:rPr>
              <w:t>Lecture SERVIER</w:t>
            </w:r>
          </w:p>
        </w:tc>
      </w:tr>
      <w:tr>
        <w:tc>
          <w:tcPr>
            <w:tcW w:type="dxa" w:w="2520"/>
          </w:tcPr>
          <w:p>
            <w:pPr>
              <w:spacing w:after="40"/>
            </w:pPr>
            <w:r>
              <w:rPr>
                <w:rFonts w:ascii="Aptos" w:hAnsi="Aptos"/>
                <w:sz w:val="18"/>
              </w:rPr>
              <w:t>Monolithe</w:t>
            </w:r>
          </w:p>
        </w:tc>
        <w:tc>
          <w:tcPr>
            <w:tcW w:type="dxa" w:w="2520"/>
          </w:tcPr>
          <w:p>
            <w:pPr>
              <w:spacing w:after="40"/>
            </w:pPr>
            <w:r>
              <w:rPr>
                <w:rFonts w:ascii="Aptos" w:hAnsi="Aptos"/>
                <w:sz w:val="18"/>
              </w:rPr>
              <w:t>Vitesse, simplicité de déploiement, cohérence locale</w:t>
            </w:r>
          </w:p>
        </w:tc>
        <w:tc>
          <w:tcPr>
            <w:tcW w:type="dxa" w:w="2520"/>
          </w:tcPr>
          <w:p>
            <w:pPr>
              <w:spacing w:after="40"/>
            </w:pPr>
            <w:r>
              <w:rPr>
                <w:rFonts w:ascii="Aptos" w:hAnsi="Aptos"/>
                <w:sz w:val="18"/>
              </w:rPr>
              <w:t>Risque de couplage si les frontières restent implicites</w:t>
            </w:r>
          </w:p>
        </w:tc>
        <w:tc>
          <w:tcPr>
            <w:tcW w:type="dxa" w:w="2520"/>
          </w:tcPr>
          <w:p>
            <w:pPr>
              <w:spacing w:after="40"/>
            </w:pPr>
            <w:r>
              <w:rPr>
                <w:rFonts w:ascii="Aptos" w:hAnsi="Aptos"/>
                <w:sz w:val="18"/>
              </w:rPr>
              <w:t>Utile pour aller vite, mais structuré ici en modules contrôlés</w:t>
            </w:r>
          </w:p>
        </w:tc>
      </w:tr>
      <w:tr>
        <w:tc>
          <w:tcPr>
            <w:tcW w:type="dxa" w:w="2520"/>
          </w:tcPr>
          <w:p>
            <w:pPr>
              <w:spacing w:after="40"/>
            </w:pPr>
            <w:r>
              <w:rPr>
                <w:rFonts w:ascii="Aptos" w:hAnsi="Aptos"/>
                <w:sz w:val="18"/>
              </w:rPr>
              <w:t>Miniservices</w:t>
            </w:r>
          </w:p>
        </w:tc>
        <w:tc>
          <w:tcPr>
            <w:tcW w:type="dxa" w:w="2520"/>
          </w:tcPr>
          <w:p>
            <w:pPr>
              <w:spacing w:after="40"/>
            </w:pPr>
            <w:r>
              <w:rPr>
                <w:rFonts w:ascii="Aptos" w:hAnsi="Aptos"/>
                <w:sz w:val="18"/>
              </w:rPr>
              <w:t>Autonomie d’équipes et extraction ciblée</w:t>
            </w:r>
          </w:p>
        </w:tc>
        <w:tc>
          <w:tcPr>
            <w:tcW w:type="dxa" w:w="2520"/>
          </w:tcPr>
          <w:p>
            <w:pPr>
              <w:spacing w:after="40"/>
            </w:pPr>
            <w:r>
              <w:rPr>
                <w:rFonts w:ascii="Aptos" w:hAnsi="Aptos"/>
                <w:sz w:val="18"/>
              </w:rPr>
              <w:t>Complexité opérationnelle prématurée sur un test court</w:t>
            </w:r>
          </w:p>
        </w:tc>
        <w:tc>
          <w:tcPr>
            <w:tcW w:type="dxa" w:w="2520"/>
          </w:tcPr>
          <w:p>
            <w:pPr>
              <w:spacing w:after="40"/>
            </w:pPr>
            <w:r>
              <w:rPr>
                <w:rFonts w:ascii="Aptos" w:hAnsi="Aptos"/>
                <w:sz w:val="18"/>
              </w:rPr>
              <w:t>Frontières préparées sans surcoût de microservices immédiats</w:t>
            </w:r>
          </w:p>
        </w:tc>
      </w:tr>
      <w:tr>
        <w:tc>
          <w:tcPr>
            <w:tcW w:type="dxa" w:w="2520"/>
          </w:tcPr>
          <w:p>
            <w:pPr>
              <w:spacing w:after="40"/>
            </w:pPr>
            <w:r>
              <w:rPr>
                <w:rFonts w:ascii="Aptos" w:hAnsi="Aptos"/>
                <w:sz w:val="18"/>
              </w:rPr>
              <w:t>Monorepo modulaire</w:t>
            </w:r>
          </w:p>
        </w:tc>
        <w:tc>
          <w:tcPr>
            <w:tcW w:type="dxa" w:w="2520"/>
          </w:tcPr>
          <w:p>
            <w:pPr>
              <w:spacing w:after="40"/>
            </w:pPr>
            <w:r>
              <w:rPr>
                <w:rFonts w:ascii="Aptos" w:hAnsi="Aptos"/>
                <w:sz w:val="18"/>
              </w:rPr>
              <w:t>Graphe unique, contrats partagés, extraction future</w:t>
            </w:r>
          </w:p>
        </w:tc>
        <w:tc>
          <w:tcPr>
            <w:tcW w:type="dxa" w:w="2520"/>
          </w:tcPr>
          <w:p>
            <w:pPr>
              <w:spacing w:after="40"/>
            </w:pPr>
            <w:r>
              <w:rPr>
                <w:rFonts w:ascii="Aptos" w:hAnsi="Aptos"/>
                <w:sz w:val="18"/>
              </w:rPr>
              <w:t>Nécessite une discipline de dépendances</w:t>
            </w:r>
          </w:p>
        </w:tc>
        <w:tc>
          <w:tcPr>
            <w:tcW w:type="dxa" w:w="2520"/>
          </w:tcPr>
          <w:p>
            <w:pPr>
              <w:spacing w:after="40"/>
            </w:pPr>
            <w:r>
              <w:rPr>
                <w:rFonts w:ascii="Aptos" w:hAnsi="Aptos"/>
                <w:sz w:val="18"/>
              </w:rPr>
              <w:t>Compromis retenu pour livrer vite et proprement</w:t>
            </w:r>
          </w:p>
        </w:tc>
      </w:tr>
    </w:tbl>
    <w:p>
      <w:pPr>
        <w:spacing w:after="100"/>
      </w:pPr>
      <w:r>
        <w:rPr>
          <w:rFonts w:ascii="Aptos" w:hAnsi="Aptos"/>
        </w:rPr>
        <w:t>Cette approche évite de vendre des microservices avant d'en avoir le besoin. Elle documente plutôt des miniservices-ready boundaries : chaque zone de responsabilité existe, se teste et peut évoluer vers un service autonome sans réécrire le produit.</w:t>
      </w:r>
    </w:p>
    <w:p>
      <w:pPr>
        <w:pStyle w:val="Heading1"/>
        <w:spacing w:after="100"/>
      </w:pPr>
      <w:r>
        <w:rPr>
          <w:rFonts w:ascii="Aptos" w:hAnsi="Aptos"/>
        </w:rPr>
        <w:t>3. Choix du template Turborepo</w:t>
      </w:r>
    </w:p>
    <w:p>
      <w:pPr>
        <w:spacing w:after="100"/>
      </w:pPr>
      <w:r>
        <w:rPr>
          <w:rFonts w:ascii="Aptos" w:hAnsi="Aptos"/>
        </w:rPr>
        <w:t>Turborepo est adapté car il orchestre Next.js, NestJS et les packages partagés dans un graphe de tâches unique. pnpm 10 assure un workspace cohérent, limite la duplication de dépendances et rend les commandes build, test, lint et typecheck reproductibles sur l'ensemble du dépôt.</w:t>
      </w:r>
    </w:p>
    <w:p>
      <w:pPr>
        <w:spacing w:after="100"/>
      </w:pPr>
      <w:r>
        <w:rPr>
          <w:rFonts w:ascii="Aptos" w:hAnsi="Aptos"/>
        </w:rPr>
        <w:t>Le domaine typé est partagé sans dépendre du web, de l'API, de la base ou d'un LLM. Cela donne un socle stable : les règles critiques peuvent être vérifiées localement, puis réutilisées par l'API et l'interface sans divergence de comportement.</w:t>
      </w:r>
    </w:p>
    <w:p>
      <w:pPr>
        <w:spacing w:after="100"/>
      </w:pPr>
      <w:r>
        <w:rPr>
          <w:rFonts w:ascii="Aptos" w:hAnsi="Aptos"/>
        </w:rPr>
        <w:t>La trajectoire cloud reste réaliste. Les conteneurs web et API peuvent être publiés séparément sur Azure Container Apps, ou portés sur AKS si une plateforme Kubernetes-native est imposée. PostgreSQL reste la persistance cible pour les règles métier et les états transactionnels.</w:t>
      </w:r>
    </w:p>
    <w:p>
      <w:pPr>
        <w:pStyle w:val="Heading1"/>
        <w:spacing w:after="100"/>
      </w:pPr>
      <w:r>
        <w:rPr>
          <w:rFonts w:ascii="Aptos" w:hAnsi="Aptos"/>
        </w:rPr>
        <w:t>4. IA opérationnelle et modernisation du test</w:t>
      </w:r>
    </w:p>
    <w:p>
      <w:pPr>
        <w:spacing w:after="100"/>
      </w:pPr>
      <w:r>
        <w:rPr>
          <w:rFonts w:ascii="Aptos" w:hAnsi="Aptos"/>
        </w:rPr>
        <w:t>La valeur IA opérationnelle apparaît dans la méthode de livraison : loop engineering, état conservé sur disque, worktrees isolés, séparation maker/checker, preuves commandées et validation indépendante. L'IA n'est donc pas seulement une autocomplétion de développeur ; elle devient un mécanisme de pilotage, de traçabilité et de réduction du risque.</w:t>
      </w:r>
    </w:p>
    <w:p>
      <w:pPr>
        <w:spacing w:after="100"/>
      </w:pPr>
      <w:r>
        <w:rPr>
          <w:rFonts w:ascii="Aptos" w:hAnsi="Aptos"/>
        </w:rPr>
        <w:t>Le bonus assistant RAG local illustre cette modernisation : l'API peut exposer un endpoint d'assistance activé par variable d'environnement, avec un fallback déterministe et la possibilité de router plus tard vers Azure OpenAI via SERVIER_AI_PROVIDER=azure-openai. Cette option prépare une industrialisation sans rendre la livraison obligatoire dépendante d'un provider live.</w:t>
      </w:r>
    </w:p>
    <w:p>
      <w:pPr>
        <w:spacing w:after="100"/>
      </w:pPr>
      <w:r>
        <w:rPr>
          <w:rFonts w:ascii="Aptos" w:hAnsi="Aptos"/>
        </w:rPr>
        <w:t>Pour un contexte client, cette posture est importante : l'IA accélère la production, mais les garde-fous restent humains et techniques. Les fixtures gelées, la documentation, les tests et les commandes vérifiables empêchent de confondre vitesse et approximation.</w:t>
      </w:r>
    </w:p>
    <w:p>
      <w:pPr>
        <w:pStyle w:val="Heading1"/>
        <w:spacing w:after="100"/>
      </w:pPr>
      <w:r>
        <w:rPr>
          <w:rFonts w:ascii="Aptos" w:hAnsi="Aptos"/>
        </w:rPr>
        <w:t>5. Contrainte volontaire d’un week-end</w:t>
      </w:r>
    </w:p>
    <w:p>
      <w:pPr>
        <w:spacing w:after="100"/>
      </w:pPr>
      <w:r>
        <w:rPr>
          <w:rFonts w:ascii="Aptos" w:hAnsi="Aptos"/>
        </w:rPr>
        <w:t>Limiter l'effort à un week-end est un choix démonstratif. Le périmètre force à prioriser ce qui donne le plus de signal : compréhension métier, architecture lisible, expérience utilisable, règles testées, documentation exploitable et chemin de déploiement crédible.</w:t>
      </w:r>
    </w:p>
    <w:p>
      <w:pPr>
        <w:spacing w:after="100"/>
      </w:pPr>
      <w:r>
        <w:rPr>
          <w:rFonts w:ascii="Aptos" w:hAnsi="Aptos"/>
        </w:rPr>
        <w:t>Cette contrainte réduit l'overengineering. Elle pousse à différer ce qui relève d'une phase d'industrialisation longue, tout en conservant les marqueurs de qualité attendus : TypeScript strict, tests automatisés, build, audit, observabilité prévue, secrets hors code et revue indépendante.</w:t>
      </w:r>
    </w:p>
    <w:p>
      <w:pPr>
        <w:spacing w:after="100"/>
      </w:pPr>
      <w:r>
        <w:rPr>
          <w:rFonts w:ascii="Aptos" w:hAnsi="Aptos"/>
        </w:rPr>
        <w:t>Le résultat montre la vitesse de delivery attendue d'un Tech Lead IA : produire rapidement un MVP sérieux, explicable et extensible, sans masquer les limites ni surpromettre une plateforme complète.</w:t>
      </w:r>
    </w:p>
    <w:p>
      <w:pPr>
        <w:pStyle w:val="Heading1"/>
        <w:spacing w:after="100"/>
      </w:pPr>
      <w:r>
        <w:rPr>
          <w:rFonts w:ascii="Aptos" w:hAnsi="Aptos"/>
        </w:rPr>
        <w:t>6. Projection mission Tech Lead IA</w:t>
      </w:r>
    </w:p>
    <w:p>
      <w:pPr>
        <w:spacing w:after="100"/>
      </w:pPr>
      <w:r>
        <w:rPr>
          <w:rFonts w:ascii="Aptos" w:hAnsi="Aptos"/>
        </w:rPr>
        <w:t>Le contexte Free-Work est traité prudemment : il positionne une mission Tech Lead / Développeur Senior IA Full-Stack orientée MVP rapide, React/Python-adjacent et AI-driven development. Le test SERVIER transpose cette intention dans une stack Next.js, NestJS et TypeScript, tout en gardant des frontières compatibles avec une évolution Python ou data si le métier l'exige.</w:t>
      </w:r>
    </w:p>
    <w:p>
      <w:pPr>
        <w:spacing w:after="100"/>
      </w:pPr>
      <w:r>
        <w:rPr>
          <w:rFonts w:ascii="Aptos" w:hAnsi="Aptos"/>
        </w:rPr>
        <w:t>PostgreSQL est cohérent pour une trajectoire de règles métier, d'historique et de données structurées. Azure Container Apps, Key Vault, Azure Monitor, Application Insights et Azure OpenAI dessinent une cible industrielle lisible, mais la version obligatoire reste locale, déterministe et vérifiable.</w:t>
      </w:r>
    </w:p>
    <w:p>
      <w:pPr>
        <w:spacing w:after="100"/>
      </w:pPr>
      <w:r>
        <w:rPr>
          <w:rFonts w:ascii="Aptos" w:hAnsi="Aptos"/>
        </w:rPr>
        <w:t>La posture attendue dépasse le code : mentoring, transmission, arbitrage d'architecture, choix de garde-fous et capacité à expliquer pourquoi une modernisation est utile. Le document et le dépôt donnent ainsi une preuve de leadership technique autant qu'une preuve d'exécution.</w:t>
      </w:r>
    </w:p>
    <w:p>
      <w:pPr>
        <w:pStyle w:val="Heading1"/>
        <w:spacing w:after="100"/>
      </w:pPr>
      <w:r>
        <w:rPr>
          <w:rFonts w:ascii="Aptos" w:hAnsi="Aptos"/>
        </w:rPr>
        <w:t>Conclusion</w:t>
      </w:r>
    </w:p>
    <w:p>
      <w:pPr>
        <w:spacing w:after="100"/>
      </w:pPr>
      <w:r>
        <w:rPr>
          <w:rFonts w:ascii="Aptos" w:hAnsi="Aptos"/>
        </w:rPr>
        <w:t>Cette livraison montre une architecture suffisamment simple pour être produite vite et suffisamment structurée pour grandir. Le compromis monorepo Turborepo, monolithe modulaire et frontières de miniservices permet de répondre au test sans complexité artificielle, tout en préparant une trajectoire cloud et IA crédible pour une mission SERVIER.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