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jc w:val="center"/>
      </w:pPr>
      <w:r>
        <w:rPr>
          <w:rFonts w:ascii="Arial" w:hAnsi="Arial" w:eastAsia="Arial"/>
          <w:b/>
          <w:sz w:val="32"/>
        </w:rPr>
        <w:t>Relatório de Projeto</w:t>
      </w:r>
    </w:p>
    <w:p>
      <w:pPr>
        <w:spacing w:before="0" w:after="0"/>
        <w:jc w:val="center"/>
      </w:pPr>
      <w:r>
        <w:rPr>
          <w:rFonts w:ascii="Arial" w:hAnsi="Arial" w:eastAsia="Arial"/>
          <w:b/>
          <w:sz w:val="22"/>
        </w:rPr>
        <w:t>Parte 3 - Segundo Bimestre (N2)</w:t>
      </w:r>
    </w:p>
    <w:p>
      <w:pPr>
        <w:spacing w:before="0" w:after="160"/>
        <w:jc w:val="center"/>
      </w:pPr>
      <w:r>
        <w:rPr>
          <w:rFonts w:ascii="Arial" w:hAnsi="Arial" w:eastAsia="Arial"/>
          <w:b/>
          <w:sz w:val="22"/>
        </w:rPr>
        <w:t>Desenvolvimento, Resultados e Relatório Completo</w:t>
      </w:r>
    </w:p>
    <w:p>
      <w:pPr>
        <w:spacing w:before="120" w:after="80"/>
        <w:jc w:val="center"/>
      </w:pPr>
      <w:r>
        <w:rPr>
          <w:rFonts w:ascii="Arial" w:hAnsi="Arial" w:eastAsia="Arial"/>
          <w:i/>
          <w:sz w:val="20"/>
        </w:rPr>
        <w:t>Tabela 1 - Integrantes do grupo</w:t>
      </w:r>
    </w:p>
    <w:tbl>
      <w:tblPr>
        <w:tblW w:type="auto" w:w="0"/>
        <w:jc w:val="center"/>
        <w:tblLook w:firstColumn="1" w:firstRow="1" w:lastColumn="0" w:lastRow="0" w:noHBand="0" w:noVBand="1" w:val="04A0"/>
      </w:tblPr>
      <w:tblGrid>
        <w:gridCol w:w="3251"/>
        <w:gridCol w:w="3251"/>
        <w:gridCol w:w="3251"/>
      </w:tblGrid>
      <w:tr>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Nome do Integrante</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RA</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E-mail</w:t>
            </w:r>
          </w:p>
        </w:tc>
      </w:tr>
      <w:tr>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Gustavo Fugulin Soares da Silva</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10418552</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[inserir e-mail]</w:t>
            </w:r>
          </w:p>
        </w:tc>
      </w:tr>
      <w:tr>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Otto Martins Mota</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10418170</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[inserir e-mail]</w:t>
            </w:r>
          </w:p>
        </w:tc>
      </w:tr>
      <w:tr>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Renan Garrido</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10417093</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[inserir e-mail]</w:t>
            </w:r>
          </w:p>
        </w:tc>
      </w:tr>
      <w:tr>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Rodrigo Roveratti Guerrero</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10417090</w:t>
            </w:r>
          </w:p>
        </w:tc>
        <w:tc>
          <w:tcPr>
            <w:tcW w:type="dxa" w:w="3251"/>
            <w:vAlign w:val="center"/>
            <w:tcBorders>
              <w:top w:sz="4" w:val="single" w:color="000000"/>
              <w:left w:sz="4" w:val="single" w:color="000000"/>
              <w:bottom w:sz="4" w:val="single" w:color="000000"/>
              <w:right w:sz="4" w:val="single" w:color="000000"/>
            </w:tcBorders>
          </w:tcPr>
          <w:p>
            <w:pPr>
              <w:jc w:val="center"/>
            </w:pPr>
            <w:r/>
            <w:r>
              <w:rPr>
                <w:rFonts w:ascii="Arial" w:hAnsi="Arial" w:eastAsia="Arial"/>
                <w:b w:val="0"/>
                <w:sz w:val="20"/>
              </w:rPr>
              <w:t>[inserir e-mail]</w:t>
            </w:r>
          </w:p>
        </w:tc>
      </w:tr>
    </w:tbl>
    <w:p/>
    <w:p>
      <w:pPr>
        <w:spacing w:before="160" w:after="160"/>
        <w:jc w:val="center"/>
      </w:pPr>
      <w:r>
        <w:rPr>
          <w:rFonts w:ascii="Arial" w:hAnsi="Arial" w:eastAsia="Arial"/>
          <w:b/>
          <w:sz w:val="32"/>
        </w:rPr>
        <w:t>Informações sobre o Projeto</w:t>
      </w:r>
    </w:p>
    <w:p>
      <w:pPr>
        <w:spacing w:after="120" w:line="240" w:lineRule="auto"/>
        <w:jc w:val="both"/>
      </w:pPr>
      <w:r>
        <w:rPr>
          <w:rFonts w:ascii="Arial" w:hAnsi="Arial" w:eastAsia="Arial"/>
          <w:b/>
          <w:sz w:val="24"/>
        </w:rPr>
        <w:t xml:space="preserve">Título: </w:t>
      </w:r>
      <w:r>
        <w:rPr>
          <w:rFonts w:ascii="Arial" w:hAnsi="Arial" w:eastAsia="Arial"/>
          <w:sz w:val="24"/>
        </w:rPr>
        <w:t>IADvogado: Simplificação de Textos Jurídicos com Modelos de Linguagem</w:t>
      </w:r>
    </w:p>
    <w:p>
      <w:pPr>
        <w:spacing w:after="120" w:line="240" w:lineRule="auto"/>
        <w:jc w:val="both"/>
      </w:pPr>
      <w:r>
        <w:rPr>
          <w:rFonts w:ascii="Arial" w:hAnsi="Arial" w:eastAsia="Arial"/>
          <w:b/>
          <w:sz w:val="24"/>
        </w:rPr>
        <w:t xml:space="preserve">Área/Tema relacionado(a): </w:t>
      </w:r>
      <w:r>
        <w:rPr>
          <w:rFonts w:ascii="Arial" w:hAnsi="Arial" w:eastAsia="Arial"/>
          <w:sz w:val="24"/>
        </w:rPr>
        <w:t>Direito, Inclusão Digital, Inovação, Infraestrutura, Processamento de Linguagem Natural</w:t>
      </w:r>
    </w:p>
    <w:p>
      <w:pPr>
        <w:spacing w:after="120" w:line="240" w:lineRule="auto"/>
        <w:jc w:val="both"/>
      </w:pPr>
      <w:r>
        <w:rPr>
          <w:rFonts w:ascii="Arial" w:hAnsi="Arial" w:eastAsia="Arial"/>
          <w:b/>
          <w:sz w:val="24"/>
        </w:rPr>
        <w:t xml:space="preserve">Opção:  </w:t>
      </w:r>
      <w:r>
        <w:rPr>
          <w:rFonts w:ascii="Arial" w:hAnsi="Arial" w:eastAsia="Arial"/>
          <w:sz w:val="24"/>
        </w:rPr>
        <w:t>ML/DL/VC/PLN (    )     LLM (X)</w:t>
      </w:r>
    </w:p>
    <w:p>
      <w:pPr>
        <w:spacing w:after="120" w:line="240" w:lineRule="auto"/>
        <w:jc w:val="both"/>
      </w:pPr>
      <w:r>
        <w:rPr>
          <w:rFonts w:ascii="Arial" w:hAnsi="Arial" w:eastAsia="Arial"/>
          <w:b/>
          <w:sz w:val="24"/>
        </w:rPr>
        <w:t xml:space="preserve">Pretende utilizar em outras disciplinas: </w:t>
      </w:r>
      <w:r>
        <w:rPr>
          <w:rFonts w:ascii="Arial" w:hAnsi="Arial" w:eastAsia="Arial"/>
          <w:sz w:val="24"/>
        </w:rPr>
        <w:t>Sim (    )     Não (X)</w:t>
      </w:r>
    </w:p>
    <w:p>
      <w:pPr>
        <w:spacing w:after="120" w:line="240" w:lineRule="auto"/>
        <w:jc w:val="both"/>
      </w:pPr>
      <w:r>
        <w:rPr>
          <w:rFonts w:ascii="Arial" w:hAnsi="Arial" w:eastAsia="Arial"/>
          <w:b/>
          <w:sz w:val="24"/>
        </w:rPr>
        <w:t xml:space="preserve">Esta proposta está relacionada ao trabalho de TCC: </w:t>
      </w:r>
      <w:r>
        <w:rPr>
          <w:rFonts w:ascii="Arial" w:hAnsi="Arial" w:eastAsia="Arial"/>
          <w:sz w:val="24"/>
        </w:rPr>
        <w:t>Sim (    )     Não (X)</w:t>
      </w:r>
    </w:p>
    <w:p>
      <w:pPr>
        <w:spacing w:after="120" w:line="240" w:lineRule="auto"/>
        <w:jc w:val="both"/>
      </w:pPr>
      <w:r>
        <w:rPr>
          <w:rFonts w:ascii="Arial" w:hAnsi="Arial" w:eastAsia="Arial"/>
          <w:b/>
          <w:sz w:val="24"/>
        </w:rPr>
        <w:t xml:space="preserve">Endereço do GitHub: </w:t>
      </w:r>
      <w:r>
        <w:rPr>
          <w:rFonts w:ascii="Arial" w:hAnsi="Arial" w:eastAsia="Arial"/>
          <w:sz w:val="24"/>
        </w:rPr>
        <w:t>[PREENCHER COM O LINK PÚBLICO DO REPOSITÓRIO/ORGANIZAÇÃO]</w:t>
      </w:r>
    </w:p>
    <w:p>
      <w:pPr>
        <w:spacing w:after="120" w:line="240" w:lineRule="auto"/>
        <w:jc w:val="both"/>
      </w:pPr>
      <w:r>
        <w:rPr>
          <w:rFonts w:ascii="Arial" w:hAnsi="Arial" w:eastAsia="Arial"/>
          <w:b/>
          <w:sz w:val="24"/>
        </w:rPr>
        <w:t xml:space="preserve">Endereço do vídeo no YouTube: </w:t>
      </w:r>
      <w:r>
        <w:rPr>
          <w:rFonts w:ascii="Arial" w:hAnsi="Arial" w:eastAsia="Arial"/>
          <w:sz w:val="24"/>
        </w:rPr>
        <w:t>[PREENCHER COM O LINK PÚBLICO DO VÍDEO]</w:t>
      </w:r>
    </w:p>
    <w:p>
      <w:pPr>
        <w:spacing w:before="240" w:after="120"/>
        <w:jc w:val="left"/>
      </w:pPr>
      <w:r>
        <w:rPr>
          <w:rFonts w:ascii="Arial" w:hAnsi="Arial" w:eastAsia="Arial"/>
          <w:b/>
          <w:sz w:val="26"/>
        </w:rPr>
        <w:t>3. Resumo</w:t>
      </w:r>
    </w:p>
    <w:p>
      <w:pPr>
        <w:spacing w:after="120" w:before="0" w:line="240" w:lineRule="auto"/>
        <w:jc w:val="both"/>
      </w:pPr>
      <w:r>
        <w:rPr>
          <w:rFonts w:ascii="Arial" w:hAnsi="Arial" w:eastAsia="Arial"/>
          <w:b w:val="0"/>
          <w:i w:val="0"/>
          <w:sz w:val="24"/>
        </w:rPr>
        <w:t>O projeto IADvogado propõe o desenvolvimento de uma solução baseada em Inteligência Artificial Generativa para simplificação de textos jurídicos curtos, como decisões judiciais, despachos, comunicados processuais e trechos de peças jurídicas. O problema abordado decorre da dificuldade de compreensão da linguagem jurídica por pessoas sem formação em Direito, o que pode gerar barreiras de acesso à informação, insegurança na interpretação de documentos e afastamento do cidadão em relação ao sistema de Justiça. A solução utiliza modelos de linguagem de grande porte, executados localmente, para transformar textos densos em explicações claras, organizadas e acessíveis, sem substituir a atuação de profissionais jurídicos. A implementação atual contempla uma arquitetura modular em Python, com API em FastAPI, módulo de OCR, cliente de modelo de linguagem local, geração de áudio por Text-to-Speech, persistência planejada em Supabase e integração inicial com WhatsApp. O projeto também considera aspectos éticos e regulatórios, como privacidade, minimização de dados, risco de alucinação e transparência sobre os limites da IA. Como resultado, o trabalho apresenta um protótipo funcional em desenvolvimento, um fluxo metodológico de coleta, preparação e simplificação de textos, além de uma avaliação técnica e ética da solução. A contribuição principal do projeto está em demonstrar como LLMs podem ser aplicados de forma responsável à simplificação de linguagem jurídica, promovendo acessibilidade e inclusão digital.</w:t>
      </w:r>
    </w:p>
    <w:p>
      <w:pPr>
        <w:spacing w:after="120" w:line="240" w:lineRule="auto"/>
        <w:jc w:val="both"/>
      </w:pPr>
      <w:r>
        <w:rPr>
          <w:rFonts w:ascii="Arial" w:hAnsi="Arial" w:eastAsia="Arial"/>
          <w:b/>
          <w:sz w:val="24"/>
        </w:rPr>
        <w:t xml:space="preserve">Palavras-chave: </w:t>
      </w:r>
      <w:r>
        <w:rPr>
          <w:rFonts w:ascii="Arial" w:hAnsi="Arial" w:eastAsia="Arial"/>
          <w:sz w:val="24"/>
        </w:rPr>
        <w:t>Inteligência Artificial; Processamento de Linguagem Natural; Modelos de Linguagem; Direito; Acessibilidade; Simplificação de Texto.</w:t>
      </w:r>
    </w:p>
    <w:p>
      <w:pPr>
        <w:spacing w:before="240" w:after="120"/>
        <w:jc w:val="left"/>
      </w:pPr>
      <w:r>
        <w:rPr>
          <w:rFonts w:ascii="Arial" w:hAnsi="Arial" w:eastAsia="Arial"/>
          <w:b/>
          <w:sz w:val="26"/>
        </w:rPr>
        <w:t>4. Introdução</w:t>
      </w:r>
    </w:p>
    <w:p>
      <w:pPr>
        <w:spacing w:before="160" w:after="80"/>
        <w:jc w:val="left"/>
      </w:pPr>
      <w:r>
        <w:rPr>
          <w:rFonts w:ascii="Arial" w:hAnsi="Arial" w:eastAsia="Arial"/>
          <w:b/>
          <w:sz w:val="24"/>
        </w:rPr>
        <w:t>4.1 Contextualização</w:t>
      </w:r>
    </w:p>
    <w:p>
      <w:pPr>
        <w:spacing w:after="120" w:before="0" w:line="240" w:lineRule="auto"/>
        <w:jc w:val="both"/>
      </w:pPr>
      <w:r>
        <w:rPr>
          <w:rFonts w:ascii="Arial" w:hAnsi="Arial" w:eastAsia="Arial"/>
          <w:b w:val="0"/>
          <w:i w:val="0"/>
          <w:sz w:val="24"/>
        </w:rPr>
        <w:t>A linguagem jurídica é reconhecida por sua elevada complexidade sintática e terminológica. Decisões judiciais, despachos, comunicados processuais e peças jurídicas frequentemente utilizam expressões técnicas, períodos longos e construções formais que dificultam o entendimento por pessoas sem formação específica na área do Direito. Essa dificuldade não é apenas linguística, mas também social, pois limita o acesso do cidadão à compreensão de informações que podem afetar diretamente sua vida, seus direitos e suas obrigações.</w:t>
      </w:r>
    </w:p>
    <w:p>
      <w:pPr>
        <w:spacing w:after="120" w:before="0" w:line="240" w:lineRule="auto"/>
        <w:jc w:val="both"/>
      </w:pPr>
      <w:r>
        <w:rPr>
          <w:rFonts w:ascii="Arial" w:hAnsi="Arial" w:eastAsia="Arial"/>
          <w:b w:val="0"/>
          <w:i w:val="0"/>
          <w:sz w:val="24"/>
        </w:rPr>
        <w:t>Com o avanço do Processamento de Linguagem Natural (PLN) e dos modelos de linguagem de grande porte, tornou-se possível desenvolver sistemas capazes de resumir, reescrever e explicar textos complexos em linguagem mais acessível. No contexto jurídico, entretanto, essa aplicação exige cautela, pois simplificar um texto legal não significa emitir parecer, recomendar conduta ou substituir análise profissional. O desafio do IADvogado é, portanto, utilizar IA como apoio à compreensão inicial, preservando o significado do texto original e sinalizando claramente seus limites.</w:t>
      </w:r>
    </w:p>
    <w:p>
      <w:pPr>
        <w:spacing w:before="160" w:after="80"/>
        <w:jc w:val="left"/>
      </w:pPr>
      <w:r>
        <w:rPr>
          <w:rFonts w:ascii="Arial" w:hAnsi="Arial" w:eastAsia="Arial"/>
          <w:b/>
          <w:sz w:val="24"/>
        </w:rPr>
        <w:t>4.2 Justificativa</w:t>
      </w:r>
    </w:p>
    <w:p>
      <w:pPr>
        <w:spacing w:after="120" w:before="0" w:line="240" w:lineRule="auto"/>
        <w:jc w:val="both"/>
      </w:pPr>
      <w:r>
        <w:rPr>
          <w:rFonts w:ascii="Arial" w:hAnsi="Arial" w:eastAsia="Arial"/>
          <w:b w:val="0"/>
          <w:i w:val="0"/>
          <w:sz w:val="24"/>
        </w:rPr>
        <w:t>O projeto se justifica pela necessidade de tornar informações jurídicas mais compreensíveis para a população leiga. A falta de clareza em documentos jurídicos pode gerar dependência excessiva de terceiros, dificuldade de acompanhamento processual e insegurança na interpretação de comunicações oficiais. Ao propor uma solução de simplificação textual, o IADvogado busca contribuir para a inclusão digital e para a democratização do acesso à informação jurídica.</w:t>
      </w:r>
    </w:p>
    <w:p>
      <w:pPr>
        <w:spacing w:after="120" w:before="0" w:line="240" w:lineRule="auto"/>
        <w:jc w:val="both"/>
      </w:pPr>
      <w:r>
        <w:rPr>
          <w:rFonts w:ascii="Arial" w:hAnsi="Arial" w:eastAsia="Arial"/>
          <w:b w:val="0"/>
          <w:i w:val="0"/>
          <w:sz w:val="24"/>
        </w:rPr>
        <w:t>A escolha por uma arquitetura com processamento local também se justifica pela natureza sensível dos dados jurídicos. Mesmo quando documentos são públicos, podem conter dados pessoais, nomes, números de processos, endereços ou informações de partes envolvidas. Por isso, o projeto valoriza privacidade, minimização de dados e controle sobre o processamento, em conformidade com os princípios da Lei Geral de Proteção de Dados.</w:t>
      </w:r>
    </w:p>
    <w:p>
      <w:pPr>
        <w:spacing w:before="160" w:after="80"/>
        <w:jc w:val="left"/>
      </w:pPr>
      <w:r>
        <w:rPr>
          <w:rFonts w:ascii="Arial" w:hAnsi="Arial" w:eastAsia="Arial"/>
          <w:b/>
          <w:sz w:val="24"/>
        </w:rPr>
        <w:t>4.3 Objetivo</w:t>
      </w:r>
    </w:p>
    <w:p>
      <w:pPr>
        <w:spacing w:after="120" w:before="0" w:line="240" w:lineRule="auto"/>
        <w:jc w:val="both"/>
      </w:pPr>
      <w:r>
        <w:rPr>
          <w:rFonts w:ascii="Arial" w:hAnsi="Arial" w:eastAsia="Arial"/>
          <w:b w:val="0"/>
          <w:i w:val="0"/>
          <w:sz w:val="24"/>
        </w:rPr>
        <w:t>O objetivo geral do projeto é desenvolver e avaliar um protótipo de sistema baseado em modelos de linguagem para simplificar textos jurídicos curtos, tornando-os mais compreensíveis para pessoas sem formação em Direito.</w:t>
      </w:r>
    </w:p>
    <w:p>
      <w:pPr>
        <w:spacing w:after="120" w:before="0" w:line="240" w:lineRule="auto"/>
        <w:jc w:val="both"/>
      </w:pPr>
      <w:r>
        <w:rPr>
          <w:rFonts w:ascii="Arial" w:hAnsi="Arial" w:eastAsia="Arial"/>
          <w:b w:val="0"/>
          <w:i w:val="0"/>
          <w:sz w:val="24"/>
        </w:rPr>
        <w:t>Os objetivos específicos são:</w:t>
      </w:r>
    </w:p>
    <w:p>
      <w:pPr>
        <w:spacing w:after="60"/>
        <w:ind w:left="340" w:hanging="142"/>
        <w:jc w:val="both"/>
      </w:pPr>
      <w:r>
        <w:rPr>
          <w:rFonts w:ascii="Arial" w:hAnsi="Arial" w:eastAsia="Arial"/>
          <w:sz w:val="22"/>
        </w:rPr>
        <w:t>• coletar ou selecionar textos jurídicos públicos e curtos, preferencialmente decisões, despachos ou comunicados processuais;</w:t>
      </w:r>
    </w:p>
    <w:p>
      <w:pPr>
        <w:spacing w:after="60"/>
        <w:ind w:left="340" w:hanging="142"/>
        <w:jc w:val="both"/>
      </w:pPr>
      <w:r>
        <w:rPr>
          <w:rFonts w:ascii="Arial" w:hAnsi="Arial" w:eastAsia="Arial"/>
          <w:sz w:val="22"/>
        </w:rPr>
        <w:t>• realizar limpeza, organização e preparação dos textos para uso com modelos de linguagem;</w:t>
      </w:r>
    </w:p>
    <w:p>
      <w:pPr>
        <w:spacing w:after="60"/>
        <w:ind w:left="340" w:hanging="142"/>
        <w:jc w:val="both"/>
      </w:pPr>
      <w:r>
        <w:rPr>
          <w:rFonts w:ascii="Arial" w:hAnsi="Arial" w:eastAsia="Arial"/>
          <w:sz w:val="22"/>
        </w:rPr>
        <w:t>• definir uma estratégia de prompt capaz de gerar resumo simplificado, explicação cotidiana e principais consequências;</w:t>
      </w:r>
    </w:p>
    <w:p>
      <w:pPr>
        <w:spacing w:after="60"/>
        <w:ind w:left="340" w:hanging="142"/>
        <w:jc w:val="both"/>
      </w:pPr>
      <w:r>
        <w:rPr>
          <w:rFonts w:ascii="Arial" w:hAnsi="Arial" w:eastAsia="Arial"/>
          <w:sz w:val="22"/>
        </w:rPr>
        <w:t>• implementar um protótipo em Python com arquitetura modular, contemplando API, módulo de IA, OCR e geração de áudio;</w:t>
      </w:r>
    </w:p>
    <w:p>
      <w:pPr>
        <w:spacing w:after="60"/>
        <w:ind w:left="340" w:hanging="142"/>
        <w:jc w:val="both"/>
      </w:pPr>
      <w:r>
        <w:rPr>
          <w:rFonts w:ascii="Arial" w:hAnsi="Arial" w:eastAsia="Arial"/>
          <w:sz w:val="22"/>
        </w:rPr>
        <w:t>• avaliar os resultados gerados, considerando clareza, fidelidade ao texto original, completude, utilidade e risco de interpretação incorreta;</w:t>
      </w:r>
    </w:p>
    <w:p>
      <w:pPr>
        <w:spacing w:after="60"/>
        <w:ind w:left="340" w:hanging="142"/>
        <w:jc w:val="both"/>
      </w:pPr>
      <w:r>
        <w:rPr>
          <w:rFonts w:ascii="Arial" w:hAnsi="Arial" w:eastAsia="Arial"/>
          <w:sz w:val="22"/>
        </w:rPr>
        <w:t>• discutir os aspectos éticos e de responsabilidade associados ao uso de IA no domínio jurídico.</w:t>
      </w:r>
    </w:p>
    <w:p>
      <w:pPr>
        <w:spacing w:before="160" w:after="80"/>
        <w:jc w:val="left"/>
      </w:pPr>
      <w:r>
        <w:rPr>
          <w:rFonts w:ascii="Arial" w:hAnsi="Arial" w:eastAsia="Arial"/>
          <w:b/>
          <w:sz w:val="24"/>
        </w:rPr>
        <w:t>4.4 Opção do Projeto</w:t>
      </w:r>
    </w:p>
    <w:p>
      <w:pPr>
        <w:spacing w:after="120" w:before="0" w:line="240" w:lineRule="auto"/>
        <w:jc w:val="both"/>
      </w:pPr>
      <w:r>
        <w:rPr>
          <w:rFonts w:ascii="Arial" w:hAnsi="Arial" w:eastAsia="Arial"/>
          <w:b w:val="0"/>
          <w:i w:val="0"/>
          <w:sz w:val="24"/>
        </w:rPr>
        <w:t>A opção selecionada para o projeto é LLM, pois a solução se concentra no uso de modelos de linguagem generativos para reescrita, explicação e organização de textos jurídicos em linguagem acessível. Embora o projeto dialogue com conceitos de PLN, OCR e IHC, a etapa central de inteligência artificial está na inferência do modelo de linguagem utilizado para a simplificação textual.</w:t>
      </w:r>
    </w:p>
    <w:p>
      <w:pPr>
        <w:spacing w:after="120" w:before="0" w:line="240" w:lineRule="auto"/>
        <w:jc w:val="both"/>
      </w:pPr>
      <w:r>
        <w:rPr>
          <w:rFonts w:ascii="Arial" w:hAnsi="Arial" w:eastAsia="Arial"/>
          <w:b w:val="0"/>
          <w:i w:val="0"/>
          <w:sz w:val="24"/>
        </w:rPr>
        <w:t>Este artigo está organizado da seguinte forma: a Seção 5 apresenta a fundamentação teórica relacionada ao Processamento de Linguagem Natural, aos modelos de linguagem, à simplificação automática de textos, ao uso de OCR, à acessibilidade e à responsabilidade no uso de IA jurídica. A Seção 6 descreve a metodologia adotada, incluindo coleta, preparação dos dados, arquitetura do sistema, estratégia de prompt e critérios de avaliação. A Seção 7 apresenta os resultados obtidos e o estado atual do protótipo, além da discussão ética da solução. Por fim, a Seção 8 sintetiza as conclusões, limitações e possibilidades de trabalhos futuros.</w:t>
      </w:r>
    </w:p>
    <w:p>
      <w:pPr>
        <w:spacing w:before="240" w:after="120"/>
        <w:jc w:val="left"/>
      </w:pPr>
      <w:r>
        <w:rPr>
          <w:rFonts w:ascii="Arial" w:hAnsi="Arial" w:eastAsia="Arial"/>
          <w:b/>
          <w:sz w:val="26"/>
        </w:rPr>
        <w:t>5. Fundamentação Teórica ou Revisão da Literatura</w:t>
      </w:r>
    </w:p>
    <w:p>
      <w:pPr>
        <w:spacing w:before="160" w:after="80"/>
        <w:jc w:val="left"/>
      </w:pPr>
      <w:r>
        <w:rPr>
          <w:rFonts w:ascii="Arial" w:hAnsi="Arial" w:eastAsia="Arial"/>
          <w:b/>
          <w:sz w:val="24"/>
        </w:rPr>
        <w:t>5.1 Processamento de Linguagem Natural</w:t>
      </w:r>
    </w:p>
    <w:p>
      <w:pPr>
        <w:spacing w:after="120" w:before="0" w:line="240" w:lineRule="auto"/>
        <w:jc w:val="both"/>
      </w:pPr>
      <w:r>
        <w:rPr>
          <w:rFonts w:ascii="Arial" w:hAnsi="Arial" w:eastAsia="Arial"/>
          <w:b w:val="0"/>
          <w:i w:val="0"/>
          <w:sz w:val="24"/>
        </w:rPr>
        <w:t>O Processamento de Linguagem Natural é uma área da Inteligência Artificial dedicada ao desenvolvimento de métodos computacionais capazes de analisar, representar, interpretar e gerar linguagem humana. Em aplicações práticas, o PLN permite tarefas como classificação de textos, extração de informações, sumarização automática, tradução, resposta a perguntas e simplificação textual. No IADvogado, o PLN é utilizado como base conceitual para transformar documentos jurídicos em representações linguísticas mais acessíveis ao usuário final.</w:t>
      </w:r>
    </w:p>
    <w:p>
      <w:pPr>
        <w:spacing w:after="120" w:before="0" w:line="240" w:lineRule="auto"/>
        <w:jc w:val="both"/>
      </w:pPr>
      <w:r>
        <w:rPr>
          <w:rFonts w:ascii="Arial" w:hAnsi="Arial" w:eastAsia="Arial"/>
          <w:b w:val="0"/>
          <w:i w:val="0"/>
          <w:sz w:val="24"/>
        </w:rPr>
        <w:t>Segundo Jurafsky e Martin (2024), a linguagem humana apresenta ambiguidade, dependência de contexto e variação lexical, características que tornam sua interpretação computacional um desafio. No domínio jurídico, esse desafio é intensificado pela presença de termos técnicos, expressões latinas, referências normativas e estruturas argumentativas complexas.</w:t>
      </w:r>
    </w:p>
    <w:p>
      <w:pPr>
        <w:spacing w:before="160" w:after="80"/>
        <w:jc w:val="left"/>
      </w:pPr>
      <w:r>
        <w:rPr>
          <w:rFonts w:ascii="Arial" w:hAnsi="Arial" w:eastAsia="Arial"/>
          <w:b/>
          <w:sz w:val="24"/>
        </w:rPr>
        <w:t>5.2 Modelos de Linguagem e LLMs</w:t>
      </w:r>
    </w:p>
    <w:p>
      <w:pPr>
        <w:spacing w:after="120" w:before="0" w:line="240" w:lineRule="auto"/>
        <w:jc w:val="both"/>
      </w:pPr>
      <w:r>
        <w:rPr>
          <w:rFonts w:ascii="Arial" w:hAnsi="Arial" w:eastAsia="Arial"/>
          <w:b w:val="0"/>
          <w:i w:val="0"/>
          <w:sz w:val="24"/>
        </w:rPr>
        <w:t>Modelos de linguagem são sistemas treinados para estimar padrões em sequências de palavras ou tokens. Os modelos de linguagem de grande porte, conhecidos como LLMs, ampliaram significativamente a capacidade de geração textual, pois são treinados em grandes volumes de dados e conseguem produzir respostas contextualizadas a partir de instruções em linguagem natural. No projeto IADvogado, o LLM é utilizado para reescrever textos jurídicos em linguagem simples, mantendo a estrutura do significado original.</w:t>
      </w:r>
    </w:p>
    <w:p>
      <w:pPr>
        <w:spacing w:after="120" w:before="0" w:line="240" w:lineRule="auto"/>
        <w:jc w:val="both"/>
      </w:pPr>
      <w:r>
        <w:rPr>
          <w:rFonts w:ascii="Arial" w:hAnsi="Arial" w:eastAsia="Arial"/>
          <w:b w:val="0"/>
          <w:i w:val="0"/>
          <w:sz w:val="24"/>
        </w:rPr>
        <w:t>A escolha por modelos locais está alinhada à necessidade de maior controle sobre os dados processados. O uso de ferramentas como Ollama permite executar modelos abertos em ambiente local, reduzindo dependência de provedores externos e mitigando riscos de exposição de documentos sensíveis. Na análise técnica do sistema, a arquitetura evoluiu para o uso de modelo local Meta-Llama-3.1-8B-Instruct, com processamento centralizado no módulo de cliente de linguagem.</w:t>
      </w:r>
    </w:p>
    <w:p>
      <w:pPr>
        <w:spacing w:before="160" w:after="80"/>
        <w:jc w:val="left"/>
      </w:pPr>
      <w:r>
        <w:rPr>
          <w:rFonts w:ascii="Arial" w:hAnsi="Arial" w:eastAsia="Arial"/>
          <w:b/>
          <w:sz w:val="24"/>
        </w:rPr>
        <w:t>5.3 Engenharia de Prompt</w:t>
      </w:r>
    </w:p>
    <w:p>
      <w:pPr>
        <w:spacing w:after="120" w:before="0" w:line="240" w:lineRule="auto"/>
        <w:jc w:val="both"/>
      </w:pPr>
      <w:r>
        <w:rPr>
          <w:rFonts w:ascii="Arial" w:hAnsi="Arial" w:eastAsia="Arial"/>
          <w:b w:val="0"/>
          <w:i w:val="0"/>
          <w:sz w:val="24"/>
        </w:rPr>
        <w:t>A engenharia de prompt consiste na formulação estruturada de instruções para orientar o comportamento do modelo de linguagem. Em sistemas de IA generativa, o prompt define o papel esperado do modelo, o formato da resposta, as restrições de conteúdo e os critérios de segurança. No IADvogado, a estratégia de prompt foi construída para gerar uma saída padronizada composta por resumo simplificado, explicação em linguagem cotidiana, principais direitos ou consequências, termos jurídicos explicados e aviso de responsabilidade.</w:t>
      </w:r>
    </w:p>
    <w:p>
      <w:pPr>
        <w:spacing w:after="120" w:before="0" w:line="240" w:lineRule="auto"/>
        <w:jc w:val="both"/>
      </w:pPr>
      <w:r>
        <w:rPr>
          <w:rFonts w:ascii="Arial" w:hAnsi="Arial" w:eastAsia="Arial"/>
          <w:b w:val="0"/>
          <w:i w:val="0"/>
          <w:sz w:val="24"/>
        </w:rPr>
        <w:t>Essa padronização é importante porque reduz a variabilidade da resposta e facilita a avaliação dos resultados. Além disso, a solicitação explícita para que o modelo não invente informações e não ofereça aconselhamento jurídico contribui para reduzir riscos éticos, embora não elimine completamente a possibilidade de erro.</w:t>
      </w:r>
    </w:p>
    <w:p>
      <w:pPr>
        <w:spacing w:before="160" w:after="80"/>
        <w:jc w:val="left"/>
      </w:pPr>
      <w:r>
        <w:rPr>
          <w:rFonts w:ascii="Arial" w:hAnsi="Arial" w:eastAsia="Arial"/>
          <w:b/>
          <w:sz w:val="24"/>
        </w:rPr>
        <w:t>5.4 Simplificação Automática de Textos Jurídicos</w:t>
      </w:r>
    </w:p>
    <w:p>
      <w:pPr>
        <w:spacing w:after="120" w:before="0" w:line="240" w:lineRule="auto"/>
        <w:jc w:val="both"/>
      </w:pPr>
      <w:r>
        <w:rPr>
          <w:rFonts w:ascii="Arial" w:hAnsi="Arial" w:eastAsia="Arial"/>
          <w:b w:val="0"/>
          <w:i w:val="0"/>
          <w:sz w:val="24"/>
        </w:rPr>
        <w:t>A simplificação automática de texto busca reescrever conteúdos complexos em uma linguagem mais simples, preservando o significado original. No domínio jurídico, essa tarefa é especialmente relevante porque muitos documentos são produzidos para especialistas, mas afetam diretamente cidadãos leigos. Garimella et al. (2022) destacam que textos legais podem conter jargões, períodos longos e estruturas difíceis de compreender por pessoas sem conhecimento especializado, além de apontarem a escassez de datasets paralelos no formato texto complexo-texto simplificado.</w:t>
      </w:r>
    </w:p>
    <w:p>
      <w:pPr>
        <w:spacing w:after="120" w:before="0" w:line="240" w:lineRule="auto"/>
        <w:jc w:val="both"/>
      </w:pPr>
      <w:r>
        <w:rPr>
          <w:rFonts w:ascii="Arial" w:hAnsi="Arial" w:eastAsia="Arial"/>
          <w:b w:val="0"/>
          <w:i w:val="0"/>
          <w:sz w:val="24"/>
        </w:rPr>
        <w:t>No contexto da língua portuguesa, trabalhos sobre simplificação automática de textos jurídicos reforçam a importância de tratar o juridiquês como barreira de acesso à informação. Alves et al. (2023) discutem a simplificação de textos jurídicos em português utilizando técnicas de aprendizado de máquina, evidenciando a aderência do tema ao problema investigado neste projeto.</w:t>
      </w:r>
    </w:p>
    <w:p>
      <w:pPr>
        <w:spacing w:before="160" w:after="80"/>
        <w:jc w:val="left"/>
      </w:pPr>
      <w:r>
        <w:rPr>
          <w:rFonts w:ascii="Arial" w:hAnsi="Arial" w:eastAsia="Arial"/>
          <w:b/>
          <w:sz w:val="24"/>
        </w:rPr>
        <w:t>5.5 Inteligência Artificial no Domínio Jurídico</w:t>
      </w:r>
    </w:p>
    <w:p>
      <w:pPr>
        <w:spacing w:after="120" w:before="0" w:line="240" w:lineRule="auto"/>
        <w:jc w:val="both"/>
      </w:pPr>
      <w:r>
        <w:rPr>
          <w:rFonts w:ascii="Arial" w:hAnsi="Arial" w:eastAsia="Arial"/>
          <w:b w:val="0"/>
          <w:i w:val="0"/>
          <w:sz w:val="24"/>
        </w:rPr>
        <w:t>A aplicação de IA no domínio jurídico envolve tarefas como classificação de documentos, recuperação de informação, sumarização, análise de jurisprudência e apoio à redação. Entretanto, o Direito possui linguagem própria e alto impacto social, o que exige responsabilidade na aplicação de modelos computacionais. Chalkidis et al. (2020), ao apresentarem o LEGAL-BERT, demonstram que modelos genéricos nem sempre se adaptam adequadamente ao domínio jurídico, sendo necessária atenção às características específicas desse tipo de texto.</w:t>
      </w:r>
    </w:p>
    <w:p>
      <w:pPr>
        <w:spacing w:after="120" w:before="0" w:line="240" w:lineRule="auto"/>
        <w:jc w:val="both"/>
      </w:pPr>
      <w:r>
        <w:rPr>
          <w:rFonts w:ascii="Arial" w:hAnsi="Arial" w:eastAsia="Arial"/>
          <w:b w:val="0"/>
          <w:i w:val="0"/>
          <w:sz w:val="24"/>
        </w:rPr>
        <w:t>No Brasil, Silveira et al. (2023) apresentam o LegalBERT-pt, modelo voltado ao domínio jurídico em português brasileiro. Esse tipo de trabalho reforça que a linguagem jurídica nacional possui particularidades próprias e que modelos especializados ou prompts cuidadosamente construídos podem melhorar a adequação das respostas.</w:t>
      </w:r>
    </w:p>
    <w:p>
      <w:pPr>
        <w:spacing w:before="160" w:after="80"/>
        <w:jc w:val="left"/>
      </w:pPr>
      <w:r>
        <w:rPr>
          <w:rFonts w:ascii="Arial" w:hAnsi="Arial" w:eastAsia="Arial"/>
          <w:b/>
          <w:sz w:val="24"/>
        </w:rPr>
        <w:t>5.6 OCR e Extração de Texto</w:t>
      </w:r>
    </w:p>
    <w:p>
      <w:pPr>
        <w:spacing w:after="120" w:before="0" w:line="240" w:lineRule="auto"/>
        <w:jc w:val="both"/>
      </w:pPr>
      <w:r>
        <w:rPr>
          <w:rFonts w:ascii="Arial" w:hAnsi="Arial" w:eastAsia="Arial"/>
          <w:b w:val="0"/>
          <w:i w:val="0"/>
          <w:sz w:val="24"/>
        </w:rPr>
        <w:t>OCR, ou Reconhecimento Óptico de Caracteres, é uma técnica utilizada para extrair texto de imagens ou documentos digitalizados. No IADvogado, o OCR é relevante para o caso de documentos jurídicos em formato PDF escaneado ou imagem. A ferramenta Tesseract foi considerada por ser um motor de OCR aberto, com suporte a diferentes idiomas e integração com Python.</w:t>
      </w:r>
    </w:p>
    <w:p>
      <w:pPr>
        <w:spacing w:after="120" w:before="0" w:line="240" w:lineRule="auto"/>
        <w:jc w:val="both"/>
      </w:pPr>
      <w:r>
        <w:rPr>
          <w:rFonts w:ascii="Arial" w:hAnsi="Arial" w:eastAsia="Arial"/>
          <w:b w:val="0"/>
          <w:i w:val="0"/>
          <w:sz w:val="24"/>
        </w:rPr>
        <w:t>No escopo do experimento acadêmico, recomenda-se priorizar textos já disponíveis em formato textual para reduzir ruídos de reconhecimento. Ainda assim, a presença de um módulo de OCR na arquitetura amplia a aplicabilidade futura do sistema, especialmente para documentos enviados por usuários em formato de imagem ou PDF digitalizado.</w:t>
      </w:r>
    </w:p>
    <w:p>
      <w:pPr>
        <w:spacing w:before="160" w:after="80"/>
        <w:jc w:val="left"/>
      </w:pPr>
      <w:r>
        <w:rPr>
          <w:rFonts w:ascii="Arial" w:hAnsi="Arial" w:eastAsia="Arial"/>
          <w:b/>
          <w:sz w:val="24"/>
        </w:rPr>
        <w:t>5.7 Acessibilidade, IHC e Síntese de Fala</w:t>
      </w:r>
    </w:p>
    <w:p>
      <w:pPr>
        <w:spacing w:after="120" w:before="0" w:line="240" w:lineRule="auto"/>
        <w:jc w:val="both"/>
      </w:pPr>
      <w:r>
        <w:rPr>
          <w:rFonts w:ascii="Arial" w:hAnsi="Arial" w:eastAsia="Arial"/>
          <w:b w:val="0"/>
          <w:i w:val="0"/>
          <w:sz w:val="24"/>
        </w:rPr>
        <w:t>Além da simplificação textual, o projeto contempla acessibilidade por meio da geração de áudio da explicação. A síntese de fala permite que usuários com baixa escolaridade, dificuldade de leitura, deficiência visual ou preferência por interação auditiva recebam o conteúdo em formato mais inclusivo. Essa decisão se relaciona a princípios de Interação Humano-Computador e às diretrizes de acessibilidade digital, como as recomendações WCAG.</w:t>
      </w:r>
    </w:p>
    <w:p>
      <w:pPr>
        <w:spacing w:after="120" w:before="0" w:line="240" w:lineRule="auto"/>
        <w:jc w:val="both"/>
      </w:pPr>
      <w:r>
        <w:rPr>
          <w:rFonts w:ascii="Arial" w:hAnsi="Arial" w:eastAsia="Arial"/>
          <w:b w:val="0"/>
          <w:i w:val="0"/>
          <w:sz w:val="24"/>
        </w:rPr>
        <w:t>Na arquitetura analisada, o módulo de Text-to-Speech utiliza vozes neurais do ecossistema Microsoft Edge TTS, com possibilidade de configurar velocidade e entonação por SSML. Essa camada não altera o conteúdo jurídico gerado, mas amplia os meios de acesso ao resultado produzido pela IA.</w:t>
      </w:r>
    </w:p>
    <w:p>
      <w:r>
        <w:rPr>
          <w:rFonts w:ascii="Arial" w:hAnsi="Arial" w:eastAsia="Arial"/>
        </w:rPr>
        <w:br w:type="page"/>
      </w:r>
    </w:p>
    <w:p>
      <w:pPr>
        <w:spacing w:before="160" w:after="80"/>
        <w:jc w:val="left"/>
      </w:pPr>
      <w:r>
        <w:rPr>
          <w:rFonts w:ascii="Arial" w:hAnsi="Arial" w:eastAsia="Arial"/>
          <w:b/>
          <w:sz w:val="24"/>
        </w:rPr>
        <w:t>5.8 Trabalhos Relacionados</w:t>
      </w:r>
    </w:p>
    <w:p>
      <w:pPr>
        <w:spacing w:after="120" w:before="0" w:line="240" w:lineRule="auto"/>
        <w:jc w:val="both"/>
      </w:pPr>
      <w:r>
        <w:rPr>
          <w:rFonts w:ascii="Arial" w:hAnsi="Arial" w:eastAsia="Arial"/>
          <w:b w:val="0"/>
          <w:i w:val="0"/>
          <w:sz w:val="24"/>
        </w:rPr>
        <w:t>Os trabalhos relacionados demonstram que a simplificação de linguagem jurídica é um problema já investigado, mas ainda aberto, principalmente em língua portuguesa e no contexto brasileiro. A Tabela 2 resume estudos e tecnologias relevantes para o projeto.</w:t>
      </w:r>
    </w:p>
    <w:p>
      <w:pPr>
        <w:spacing w:before="120" w:after="80"/>
        <w:jc w:val="center"/>
      </w:pPr>
      <w:r>
        <w:rPr>
          <w:rFonts w:ascii="Arial" w:hAnsi="Arial" w:eastAsia="Arial"/>
          <w:i/>
          <w:sz w:val="20"/>
        </w:rPr>
        <w:t>Tabela 2 - Trabalhos relacionados e aderência ao IADvogado</w:t>
      </w:r>
    </w:p>
    <w:tbl>
      <w:tblPr>
        <w:tblStyle w:val="TableGrid"/>
        <w:tblW w:type="auto" w:w="0"/>
        <w:jc w:val="center"/>
        <w:tblLook w:firstColumn="1" w:firstRow="1" w:lastColumn="0" w:lastRow="0" w:noHBand="0" w:noVBand="1" w:val="04A0"/>
      </w:tblPr>
      <w:tblGrid>
        <w:gridCol w:w="3251"/>
        <w:gridCol w:w="3251"/>
        <w:gridCol w:w="3251"/>
      </w:tblGrid>
      <w:tr>
        <w:tc>
          <w:tcPr>
            <w:tcW w:type="dxa" w:w="2268"/>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Trabalho/Fonte</w:t>
            </w:r>
          </w:p>
        </w:tc>
        <w:tc>
          <w:tcPr>
            <w:tcW w:type="dxa" w:w="3515"/>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Contribuição</w:t>
            </w:r>
          </w:p>
        </w:tc>
        <w:tc>
          <w:tcPr>
            <w:tcW w:type="dxa" w:w="3855"/>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Relação com o IADvogado</w:t>
            </w:r>
          </w:p>
        </w:tc>
      </w:tr>
      <w:tr>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Garimella et al. (2022)</w:t>
            </w:r>
          </w:p>
        </w:tc>
        <w:tc>
          <w:tcPr>
            <w:tcW w:type="dxa" w:w="351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Discute desafios da simplificação textual no domínio jurídico e a escassez de datasets paralelos.</w:t>
            </w:r>
          </w:p>
        </w:tc>
        <w:tc>
          <w:tcPr>
            <w:tcW w:type="dxa" w:w="385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Fundamenta a dificuldade técnica e metodológica da simplificação de textos legais.</w:t>
            </w:r>
          </w:p>
        </w:tc>
      </w:tr>
      <w:tr>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Alves et al. (2023)</w:t>
            </w:r>
          </w:p>
        </w:tc>
        <w:tc>
          <w:tcPr>
            <w:tcW w:type="dxa" w:w="351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Aborda simplificação automática de textos jurídicos em português com aprendizado de máquina.</w:t>
            </w:r>
          </w:p>
        </w:tc>
        <w:tc>
          <w:tcPr>
            <w:tcW w:type="dxa" w:w="385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Aproxima o projeto do contexto da língua portuguesa e do problema do juridiquês.</w:t>
            </w:r>
          </w:p>
        </w:tc>
      </w:tr>
      <w:tr>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Chalkidis et al. (2020)</w:t>
            </w:r>
          </w:p>
        </w:tc>
        <w:tc>
          <w:tcPr>
            <w:tcW w:type="dxa" w:w="351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Apresenta o LEGAL-BERT e discute adaptação de modelos ao domínio jurídico.</w:t>
            </w:r>
          </w:p>
        </w:tc>
        <w:tc>
          <w:tcPr>
            <w:tcW w:type="dxa" w:w="385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Justifica a necessidade de atenção às características próprias do texto jurídico.</w:t>
            </w:r>
          </w:p>
        </w:tc>
      </w:tr>
      <w:tr>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Silveira et al. (2023)</w:t>
            </w:r>
          </w:p>
        </w:tc>
        <w:tc>
          <w:tcPr>
            <w:tcW w:type="dxa" w:w="351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Apresenta modelo de linguagem jurídico em português brasileiro.</w:t>
            </w:r>
          </w:p>
        </w:tc>
        <w:tc>
          <w:tcPr>
            <w:tcW w:type="dxa" w:w="385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Relaciona o projeto à realidade nacional e à especialização de modelos em linguagem jurídica.</w:t>
            </w:r>
          </w:p>
        </w:tc>
      </w:tr>
      <w:tr>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CNJ/DataJud</w:t>
            </w:r>
          </w:p>
        </w:tc>
        <w:tc>
          <w:tcPr>
            <w:tcW w:type="dxa" w:w="351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Centraliza metadados judiciais como fonte primária de dados do Poder Judiciário.</w:t>
            </w:r>
          </w:p>
        </w:tc>
        <w:tc>
          <w:tcPr>
            <w:tcW w:type="dxa" w:w="385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Indica caminho futuro para consulta estruturada de dados processuais públicos.</w:t>
            </w:r>
          </w:p>
        </w:tc>
      </w:tr>
    </w:tbl>
    <w:p>
      <w:pPr>
        <w:spacing w:after="80"/>
      </w:pPr>
    </w:p>
    <w:p>
      <w:pPr>
        <w:spacing w:before="240" w:after="120"/>
        <w:jc w:val="left"/>
      </w:pPr>
      <w:r>
        <w:rPr>
          <w:rFonts w:ascii="Arial" w:hAnsi="Arial" w:eastAsia="Arial"/>
          <w:b/>
          <w:sz w:val="26"/>
        </w:rPr>
        <w:t>6. Metodologia e Resultados Esperados</w:t>
      </w:r>
    </w:p>
    <w:p>
      <w:pPr>
        <w:spacing w:before="160" w:after="80"/>
        <w:jc w:val="left"/>
      </w:pPr>
      <w:r>
        <w:rPr>
          <w:rFonts w:ascii="Arial" w:hAnsi="Arial" w:eastAsia="Arial"/>
          <w:b/>
          <w:sz w:val="24"/>
        </w:rPr>
        <w:t>6.1 Abordagem Geral</w:t>
      </w:r>
    </w:p>
    <w:p>
      <w:pPr>
        <w:spacing w:after="120" w:before="0" w:line="240" w:lineRule="auto"/>
        <w:jc w:val="both"/>
      </w:pPr>
      <w:r>
        <w:rPr>
          <w:rFonts w:ascii="Arial" w:hAnsi="Arial" w:eastAsia="Arial"/>
          <w:b w:val="0"/>
          <w:i w:val="0"/>
          <w:sz w:val="24"/>
        </w:rPr>
        <w:t>A metodologia adotada segue uma abordagem aplicada e experimental, com foco no desenvolvimento de um protótipo funcional e na avaliação qualitativa das saídas produzidas por um modelo de linguagem. O projeto foi dividido em etapas: definição do escopo, coleta ou seleção de textos, preparação dos dados, definição do prompt, implementação da arquitetura, execução do modelo, geração de saídas em texto e áudio, avaliação dos resultados e análise ética.</w:t>
      </w:r>
    </w:p>
    <w:p>
      <w:pPr>
        <w:spacing w:before="160" w:after="80"/>
        <w:jc w:val="left"/>
      </w:pPr>
      <w:r>
        <w:rPr>
          <w:rFonts w:ascii="Arial" w:hAnsi="Arial" w:eastAsia="Arial"/>
          <w:b/>
          <w:sz w:val="24"/>
        </w:rPr>
        <w:t>6.2 Recorte do Escopo</w:t>
      </w:r>
    </w:p>
    <w:p>
      <w:pPr>
        <w:spacing w:after="120" w:before="0" w:line="240" w:lineRule="auto"/>
        <w:jc w:val="both"/>
      </w:pPr>
      <w:r>
        <w:rPr>
          <w:rFonts w:ascii="Arial" w:hAnsi="Arial" w:eastAsia="Arial"/>
          <w:b w:val="0"/>
          <w:i w:val="0"/>
          <w:sz w:val="24"/>
        </w:rPr>
        <w:t>Considerando o tempo da disciplina e o feedback recebido na etapa anterior, o escopo foi delimitado à simplificação de textos jurídicos curtos, entre um e três parágrafos. O sistema não tem como objetivo interpretar processos completos, substituir advogado, indicar estratégia jurídica ou prever decisões judiciais. Sua função é explicar, em linguagem acessível, o conteúdo de trechos jurídicos fornecidos pelo usuário ou selecionados para teste.</w:t>
      </w:r>
    </w:p>
    <w:p>
      <w:pPr>
        <w:spacing w:before="160" w:after="80"/>
        <w:jc w:val="left"/>
      </w:pPr>
      <w:r>
        <w:rPr>
          <w:rFonts w:ascii="Arial" w:hAnsi="Arial" w:eastAsia="Arial"/>
          <w:b/>
          <w:sz w:val="24"/>
        </w:rPr>
        <w:t>6.3 Dataset</w:t>
      </w:r>
    </w:p>
    <w:p>
      <w:pPr>
        <w:spacing w:after="120" w:before="0" w:line="240" w:lineRule="auto"/>
        <w:jc w:val="both"/>
      </w:pPr>
      <w:r>
        <w:rPr>
          <w:rFonts w:ascii="Arial" w:hAnsi="Arial" w:eastAsia="Arial"/>
          <w:b w:val="0"/>
          <w:i w:val="0"/>
          <w:sz w:val="24"/>
        </w:rPr>
        <w:t>O dataset do projeto deve ser composto por textos jurídicos públicos, preferencialmente extraídos de decisões, despachos ou comunicados processuais disponíveis em fontes abertas. Para a versão final do relatório, o grupo deve preencher a quantidade efetiva de textos utilizados, a fonte de origem, o tipo de documento e as estatísticas descritivas após a limpeza.</w:t>
      </w:r>
    </w:p>
    <w:p>
      <w:r>
        <w:rPr>
          <w:rFonts w:ascii="Arial" w:hAnsi="Arial" w:eastAsia="Arial"/>
        </w:rPr>
        <w:br w:type="page"/>
      </w:r>
    </w:p>
    <w:p>
      <w:pPr>
        <w:spacing w:before="120" w:after="80"/>
        <w:jc w:val="center"/>
      </w:pPr>
      <w:r>
        <w:rPr>
          <w:rFonts w:ascii="Arial" w:hAnsi="Arial" w:eastAsia="Arial"/>
          <w:i/>
          <w:sz w:val="20"/>
        </w:rPr>
        <w:t>Tabela 3 - Estrutura proposta do dataset</w:t>
      </w:r>
    </w:p>
    <w:tbl>
      <w:tblPr>
        <w:tblStyle w:val="TableGrid"/>
        <w:tblW w:type="auto" w:w="0"/>
        <w:jc w:val="center"/>
        <w:tblLook w:firstColumn="1" w:firstRow="1" w:lastColumn="0" w:lastRow="0" w:noHBand="0" w:noVBand="1" w:val="04A0"/>
      </w:tblPr>
      <w:tblGrid>
        <w:gridCol w:w="4876"/>
        <w:gridCol w:w="4876"/>
      </w:tblGrid>
      <w:tr>
        <w:tc>
          <w:tcPr>
            <w:tcW w:type="dxa" w:w="2835"/>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Campo</w:t>
            </w:r>
          </w:p>
        </w:tc>
        <w:tc>
          <w:tcPr>
            <w:tcW w:type="dxa" w:w="6520"/>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Descrição</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id</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Identificador único do registro.</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fonte</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Origem do texto, como STJ, CNJ ou outro repositório público.</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tipo_documento</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Tipo do documento jurídico: decisão, despacho, comunicado ou trecho processual.</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texto_original</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Trecho jurídico original antes da simplificação.</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texto_limpo</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Texto após remoção de ruídos, espaços duplicados e quebras excessivas.</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resumo_simplificado</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Resumo produzido pelo modelo em linguagem simples.</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explicacao_cotidiana</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Explicação em linguagem cotidiana para pessoa leiga.</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direitos_consequencias</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Principais direitos, deveres ou consequências identificados.</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qtd_palavras_original</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Quantidade de palavras do texto original.</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qtd_palavras_simplificado</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Quantidade de palavras da saída simplificada.</w:t>
            </w:r>
          </w:p>
        </w:tc>
      </w:tr>
      <w:tr>
        <w:tc>
          <w:tcPr>
            <w:tcW w:type="dxa" w:w="2835"/>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observacoes_avaliacao</w:t>
            </w:r>
          </w:p>
        </w:tc>
        <w:tc>
          <w:tcPr>
            <w:tcW w:type="dxa" w:w="652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Observações qualitativas sobre fidelidade, clareza e risco de erro.</w:t>
            </w:r>
          </w:p>
        </w:tc>
      </w:tr>
    </w:tbl>
    <w:p>
      <w:pPr>
        <w:spacing w:after="80"/>
      </w:pPr>
    </w:p>
    <w:p>
      <w:pPr>
        <w:spacing w:after="120" w:before="0" w:line="240" w:lineRule="auto"/>
        <w:jc w:val="both"/>
      </w:pPr>
      <w:r>
        <w:rPr>
          <w:rFonts w:ascii="Arial" w:hAnsi="Arial" w:eastAsia="Arial"/>
          <w:b w:val="0"/>
          <w:i w:val="0"/>
          <w:sz w:val="24"/>
        </w:rPr>
        <w:t>Quantidade final de textos analisados: [PREENCHER]. Fonte(s) utilizadas: [PREENCHER]. Critério de seleção: textos curtos, públicos e com linguagem jurídica suficientemente complexa para justificar simplificação.</w:t>
      </w:r>
    </w:p>
    <w:p>
      <w:pPr>
        <w:spacing w:before="160" w:after="80"/>
        <w:jc w:val="left"/>
      </w:pPr>
      <w:r>
        <w:rPr>
          <w:rFonts w:ascii="Arial" w:hAnsi="Arial" w:eastAsia="Arial"/>
          <w:b/>
          <w:sz w:val="24"/>
        </w:rPr>
        <w:t>6.4 Preparação dos Dados</w:t>
      </w:r>
    </w:p>
    <w:p>
      <w:pPr>
        <w:spacing w:after="120" w:before="0" w:line="240" w:lineRule="auto"/>
        <w:jc w:val="both"/>
      </w:pPr>
      <w:r>
        <w:rPr>
          <w:rFonts w:ascii="Arial" w:hAnsi="Arial" w:eastAsia="Arial"/>
          <w:b w:val="0"/>
          <w:i w:val="0"/>
          <w:sz w:val="24"/>
        </w:rPr>
        <w:t>A preparação dos dados envolve a extração textual, limpeza e padronização dos documentos. Na limpeza, são removidos espaços duplicados, quebras de linha excessivas, caracteres residuais e trechos que não contribuem para o entendimento do conteúdo. Quando o documento estiver em imagem ou PDF escaneado, pode ser aplicado OCR com Tesseract para obtenção do texto bruto. Em seguida, os textos são segmentados em blocos curtos, respeitando o limite de um a três parágrafos.</w:t>
      </w:r>
    </w:p>
    <w:p>
      <w:pPr>
        <w:spacing w:before="160" w:after="80"/>
        <w:jc w:val="left"/>
      </w:pPr>
      <w:r>
        <w:rPr>
          <w:rFonts w:ascii="Arial" w:hAnsi="Arial" w:eastAsia="Arial"/>
          <w:b/>
          <w:sz w:val="24"/>
        </w:rPr>
        <w:t>6.5 Arquitetura do Sistema</w:t>
      </w:r>
    </w:p>
    <w:p>
      <w:pPr>
        <w:spacing w:after="120" w:before="0" w:line="240" w:lineRule="auto"/>
        <w:jc w:val="both"/>
      </w:pPr>
      <w:r>
        <w:rPr>
          <w:rFonts w:ascii="Arial" w:hAnsi="Arial" w:eastAsia="Arial"/>
          <w:b w:val="0"/>
          <w:i w:val="0"/>
          <w:sz w:val="24"/>
        </w:rPr>
        <w:t>A arquitetura atual do IADvogado é modular e organizada por camadas, com separação entre entrada da aplicação, serviços de IA, adaptadores, utilitários e persistência. Essa separação facilita manutenção, substituição de componentes e evolução futura do protótipo.</w:t>
      </w:r>
    </w:p>
    <w:p>
      <w:pPr>
        <w:spacing w:before="120" w:after="80"/>
        <w:jc w:val="center"/>
      </w:pPr>
      <w:r>
        <w:rPr>
          <w:rFonts w:ascii="Arial" w:hAnsi="Arial" w:eastAsia="Arial"/>
          <w:i/>
          <w:sz w:val="20"/>
        </w:rPr>
        <w:t>Tabela 4 - Componentes técnicos do protótipo</w:t>
      </w:r>
    </w:p>
    <w:tbl>
      <w:tblPr>
        <w:tblStyle w:val="TableGrid"/>
        <w:tblW w:type="auto" w:w="0"/>
        <w:jc w:val="center"/>
        <w:tblLook w:firstColumn="1" w:firstRow="1" w:lastColumn="0" w:lastRow="0" w:noHBand="0" w:noVBand="1" w:val="04A0"/>
      </w:tblPr>
      <w:tblGrid>
        <w:gridCol w:w="3251"/>
        <w:gridCol w:w="3251"/>
        <w:gridCol w:w="3251"/>
      </w:tblGrid>
      <w:tr>
        <w:tc>
          <w:tcPr>
            <w:tcW w:type="dxa" w:w="1757"/>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Camada</w:t>
            </w:r>
          </w:p>
        </w:tc>
        <w:tc>
          <w:tcPr>
            <w:tcW w:type="dxa" w:w="249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Arquivo/Módulo</w:t>
            </w:r>
          </w:p>
        </w:tc>
        <w:tc>
          <w:tcPr>
            <w:tcW w:type="dxa" w:w="5329"/>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Função</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Entrada/API</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api/main.py e run.py</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Exposição de endpoints HTTP e orquestração do fluxo principal via FastAPI.</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Modelo de linguagem</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services/llama_client.py</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Comunicação com o LLM local, geração de simplificações e tratamento de saídas inconsistentes.</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OCR</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services/ocr_worker.py</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Extração de texto de imagens ou PDFs escaneados usando Pytesseract/Tesseract.</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TTS</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services/edge_tts_worker.py</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Geração de áudio em português a partir da explicação simplificada.</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Integração</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integrations/whatsapp_adapter.py</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Estrutura inicial para envio de respostas via WhatsApp.</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Configuração e core</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config/config.py, core/models.py, utils/utils.py</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Modelos de dados, configurações, heurísticas e funções auxiliares.</w:t>
            </w:r>
          </w:p>
        </w:tc>
      </w:tr>
      <w:tr>
        <w:tc>
          <w:tcPr>
            <w:tcW w:type="dxa" w:w="175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Persistência</w:t>
            </w:r>
          </w:p>
        </w:tc>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Supabase e cache local</w:t>
            </w:r>
          </w:p>
        </w:tc>
        <w:tc>
          <w:tcPr>
            <w:tcW w:type="dxa" w:w="532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Persistência planejada de registros, cache de áudio e controle de retenção.</w:t>
            </w:r>
          </w:p>
        </w:tc>
      </w:tr>
    </w:tbl>
    <w:p>
      <w:pPr>
        <w:spacing w:after="80"/>
      </w:pPr>
    </w:p>
    <w:p>
      <w:pPr>
        <w:spacing w:after="120" w:before="0" w:line="240" w:lineRule="auto"/>
        <w:jc w:val="both"/>
      </w:pPr>
      <w:r>
        <w:rPr>
          <w:rFonts w:ascii="Arial" w:hAnsi="Arial" w:eastAsia="Arial"/>
          <w:b w:val="0"/>
          <w:i w:val="0"/>
          <w:sz w:val="24"/>
        </w:rPr>
        <w:t>A Figura 1 representa, em formato textual, o fluxo geral do sistema:</w:t>
      </w:r>
    </w:p>
    <w:tbl>
      <w:tblPr>
        <w:tblW w:type="auto" w:w="0"/>
        <w:jc w:val="center"/>
        <w:tblLook w:firstColumn="1" w:firstRow="1" w:lastColumn="0" w:lastRow="0" w:noHBand="0" w:noVBand="1" w:val="04A0"/>
      </w:tblPr>
      <w:tblGrid>
        <w:gridCol w:w="9752"/>
      </w:tblGrid>
      <w:tr>
        <w:tc>
          <w:tcPr>
            <w:tcW w:type="dxa" w:w="9752"/>
            <w:shd w:fill="F2F2F2"/>
            <w:tcBorders>
              <w:top w:sz="4" w:val="single" w:color="A6A6A6"/>
              <w:left w:sz="4" w:val="single" w:color="A6A6A6"/>
              <w:bottom w:sz="4" w:val="single" w:color="A6A6A6"/>
              <w:right w:sz="4" w:val="single" w:color="A6A6A6"/>
            </w:tcBorders>
          </w:tcPr>
          <w:p>
            <w:pPr>
              <w:spacing w:after="0"/>
            </w:pPr>
            <w:r/>
            <w:r>
              <w:rPr>
                <w:rFonts w:ascii="Courier New" w:hAnsi="Courier New" w:eastAsia="Courier New"/>
                <w:sz w:val="18"/>
              </w:rPr>
              <w:t>Usuário/Cliente -&gt; API FastAPI -&gt; Extração/OCR -&gt; Pré-processamento -&gt; LLM Local -&gt; Parser/Fallback -&gt; Resposta em texto -&gt; TTS -&gt; Áudio/Integração</w:t>
            </w:r>
          </w:p>
        </w:tc>
      </w:tr>
    </w:tbl>
    <w:p>
      <w:pPr>
        <w:spacing w:after="40"/>
      </w:pPr>
    </w:p>
    <w:p>
      <w:pPr>
        <w:spacing w:before="160" w:after="80"/>
        <w:jc w:val="left"/>
      </w:pPr>
      <w:r>
        <w:rPr>
          <w:rFonts w:ascii="Arial" w:hAnsi="Arial" w:eastAsia="Arial"/>
          <w:b/>
          <w:sz w:val="24"/>
        </w:rPr>
        <w:t>6.6 Estratégia de Prompt</w:t>
      </w:r>
    </w:p>
    <w:p>
      <w:pPr>
        <w:spacing w:after="120" w:before="0" w:line="240" w:lineRule="auto"/>
        <w:jc w:val="both"/>
      </w:pPr>
      <w:r>
        <w:rPr>
          <w:rFonts w:ascii="Arial" w:hAnsi="Arial" w:eastAsia="Arial"/>
          <w:b w:val="0"/>
          <w:i w:val="0"/>
          <w:sz w:val="24"/>
        </w:rPr>
        <w:t>O prompt foi estruturado para orientar o modelo a atuar como assistente de simplificação, e não como advogado. A saída solicitada contém blocos fixos, o que melhora a previsibilidade da resposta e facilita a avaliação posterior. O modelo é instruído a não inventar informações, não emitir aconselhamento jurídico, manter o significado original e incluir aviso de responsabilidade.</w:t>
      </w:r>
    </w:p>
    <w:tbl>
      <w:tblPr>
        <w:tblW w:type="auto" w:w="0"/>
        <w:jc w:val="center"/>
        <w:tblLook w:firstColumn="1" w:firstRow="1" w:lastColumn="0" w:lastRow="0" w:noHBand="0" w:noVBand="1" w:val="04A0"/>
      </w:tblPr>
      <w:tblGrid>
        <w:gridCol w:w="9752"/>
      </w:tblGrid>
      <w:tr>
        <w:tc>
          <w:tcPr>
            <w:tcW w:type="dxa" w:w="9752"/>
            <w:shd w:fill="F2F2F2"/>
            <w:tcBorders>
              <w:top w:sz="4" w:val="single" w:color="A6A6A6"/>
              <w:left w:sz="4" w:val="single" w:color="A6A6A6"/>
              <w:bottom w:sz="4" w:val="single" w:color="A6A6A6"/>
              <w:right w:sz="4" w:val="single" w:color="A6A6A6"/>
            </w:tcBorders>
          </w:tcPr>
          <w:p>
            <w:pPr>
              <w:spacing w:after="0"/>
            </w:pPr>
            <w:r/>
            <w:r>
              <w:rPr>
                <w:rFonts w:ascii="Courier New" w:hAnsi="Courier New" w:eastAsia="Courier New"/>
                <w:sz w:val="18"/>
              </w:rPr>
              <w:t>Você é um assistente de linguagem especializado em simplificar textos jurídicos para pessoas sem formação em Direito.</w:t>
            </w:r>
          </w:p>
          <w:p>
            <w:pPr>
              <w:spacing w:after="0"/>
            </w:pPr>
            <w:r>
              <w:rPr>
                <w:rFonts w:ascii="Courier New" w:hAnsi="Courier New" w:eastAsia="Courier New"/>
                <w:sz w:val="18"/>
              </w:rPr>
            </w:r>
          </w:p>
          <w:p>
            <w:pPr>
              <w:spacing w:after="0"/>
            </w:pPr>
            <w:r>
              <w:rPr>
                <w:rFonts w:ascii="Courier New" w:hAnsi="Courier New" w:eastAsia="Courier New"/>
                <w:sz w:val="18"/>
              </w:rPr>
              <w:t>Regras:</w:t>
            </w:r>
          </w:p>
          <w:p>
            <w:pPr>
              <w:spacing w:after="0"/>
            </w:pPr>
            <w:r>
              <w:rPr>
                <w:rFonts w:ascii="Courier New" w:hAnsi="Courier New" w:eastAsia="Courier New"/>
                <w:sz w:val="18"/>
              </w:rPr>
              <w:t>1. Não invente informações.</w:t>
            </w:r>
          </w:p>
          <w:p>
            <w:pPr>
              <w:spacing w:after="0"/>
            </w:pPr>
            <w:r>
              <w:rPr>
                <w:rFonts w:ascii="Courier New" w:hAnsi="Courier New" w:eastAsia="Courier New"/>
                <w:sz w:val="18"/>
              </w:rPr>
              <w:t>2. Não dê aconselhamento jurídico.</w:t>
            </w:r>
          </w:p>
          <w:p>
            <w:pPr>
              <w:spacing w:after="0"/>
            </w:pPr>
            <w:r>
              <w:rPr>
                <w:rFonts w:ascii="Courier New" w:hAnsi="Courier New" w:eastAsia="Courier New"/>
                <w:sz w:val="18"/>
              </w:rPr>
              <w:t>3. Preserve o sentido do texto original.</w:t>
            </w:r>
          </w:p>
          <w:p>
            <w:pPr>
              <w:spacing w:after="0"/>
            </w:pPr>
            <w:r>
              <w:rPr>
                <w:rFonts w:ascii="Courier New" w:hAnsi="Courier New" w:eastAsia="Courier New"/>
                <w:sz w:val="18"/>
              </w:rPr>
              <w:t>4. Explique termos técnicos quando necessário.</w:t>
            </w:r>
          </w:p>
          <w:p>
            <w:pPr>
              <w:spacing w:after="0"/>
            </w:pPr>
            <w:r>
              <w:rPr>
                <w:rFonts w:ascii="Courier New" w:hAnsi="Courier New" w:eastAsia="Courier New"/>
                <w:sz w:val="18"/>
              </w:rPr>
              <w:t>5. Use linguagem simples e objetiva.</w:t>
            </w:r>
          </w:p>
          <w:p>
            <w:pPr>
              <w:spacing w:after="0"/>
            </w:pPr>
            <w:r>
              <w:rPr>
                <w:rFonts w:ascii="Courier New" w:hAnsi="Courier New" w:eastAsia="Courier New"/>
                <w:sz w:val="18"/>
              </w:rPr>
            </w:r>
          </w:p>
          <w:p>
            <w:pPr>
              <w:spacing w:after="0"/>
            </w:pPr>
            <w:r>
              <w:rPr>
                <w:rFonts w:ascii="Courier New" w:hAnsi="Courier New" w:eastAsia="Courier New"/>
                <w:sz w:val="18"/>
              </w:rPr>
              <w:t>Retorne:</w:t>
            </w:r>
          </w:p>
          <w:p>
            <w:pPr>
              <w:spacing w:after="0"/>
            </w:pPr>
            <w:r>
              <w:rPr>
                <w:rFonts w:ascii="Courier New" w:hAnsi="Courier New" w:eastAsia="Courier New"/>
                <w:sz w:val="18"/>
              </w:rPr>
              <w:t>1. Resumo simplificado</w:t>
            </w:r>
          </w:p>
          <w:p>
            <w:pPr>
              <w:spacing w:after="0"/>
            </w:pPr>
            <w:r>
              <w:rPr>
                <w:rFonts w:ascii="Courier New" w:hAnsi="Courier New" w:eastAsia="Courier New"/>
                <w:sz w:val="18"/>
              </w:rPr>
              <w:t>2. Explicação em linguagem cotidiana</w:t>
            </w:r>
          </w:p>
          <w:p>
            <w:pPr>
              <w:spacing w:after="0"/>
            </w:pPr>
            <w:r>
              <w:rPr>
                <w:rFonts w:ascii="Courier New" w:hAnsi="Courier New" w:eastAsia="Courier New"/>
                <w:sz w:val="18"/>
              </w:rPr>
              <w:t>3. Principais direitos, deveres ou consequências</w:t>
            </w:r>
          </w:p>
          <w:p>
            <w:pPr>
              <w:spacing w:after="0"/>
            </w:pPr>
            <w:r>
              <w:rPr>
                <w:rFonts w:ascii="Courier New" w:hAnsi="Courier New" w:eastAsia="Courier New"/>
                <w:sz w:val="18"/>
              </w:rPr>
              <w:t>4. Termos jurídicos explicados</w:t>
            </w:r>
          </w:p>
          <w:p>
            <w:pPr>
              <w:spacing w:after="0"/>
            </w:pPr>
            <w:r>
              <w:rPr>
                <w:rFonts w:ascii="Courier New" w:hAnsi="Courier New" w:eastAsia="Courier New"/>
                <w:sz w:val="18"/>
              </w:rPr>
              <w:t>5. Aviso de responsabilidade</w:t>
            </w:r>
          </w:p>
        </w:tc>
      </w:tr>
    </w:tbl>
    <w:p>
      <w:pPr>
        <w:spacing w:after="40"/>
      </w:pPr>
    </w:p>
    <w:p>
      <w:pPr>
        <w:spacing w:before="160" w:after="80"/>
        <w:jc w:val="left"/>
      </w:pPr>
      <w:r>
        <w:rPr>
          <w:rFonts w:ascii="Arial" w:hAnsi="Arial" w:eastAsia="Arial"/>
          <w:b/>
          <w:sz w:val="24"/>
        </w:rPr>
        <w:t>6.7 Execução do Modelo</w:t>
      </w:r>
    </w:p>
    <w:p>
      <w:pPr>
        <w:spacing w:after="120" w:before="0" w:line="240" w:lineRule="auto"/>
        <w:jc w:val="both"/>
      </w:pPr>
      <w:r>
        <w:rPr>
          <w:rFonts w:ascii="Arial" w:hAnsi="Arial" w:eastAsia="Arial"/>
          <w:b w:val="0"/>
          <w:i w:val="0"/>
          <w:sz w:val="24"/>
        </w:rPr>
        <w:t>A execução do modelo ocorre localmente, com uso de LLM aberto, configurado para receber o texto limpo e retornar a resposta estruturada. A análise técnica do sistema indica o uso de Meta-Llama-3.1-8B-Instruct, com carregamento sob demanda e tratamento de exceções para reduzir falhas na API. Caso a resposta do modelo não siga o formato esperado, o sistema tenta aplicar parser JSON, parser por expressões regulares e, em último caso, retorno estático de segurança.</w:t>
      </w:r>
    </w:p>
    <w:p>
      <w:pPr>
        <w:spacing w:before="160" w:after="80"/>
        <w:jc w:val="left"/>
      </w:pPr>
      <w:r>
        <w:rPr>
          <w:rFonts w:ascii="Arial" w:hAnsi="Arial" w:eastAsia="Arial"/>
          <w:b/>
          <w:sz w:val="24"/>
        </w:rPr>
        <w:t>6.8 Critérios de Avaliação</w:t>
      </w:r>
    </w:p>
    <w:p>
      <w:pPr>
        <w:spacing w:after="120" w:before="0" w:line="240" w:lineRule="auto"/>
        <w:jc w:val="both"/>
      </w:pPr>
      <w:r>
        <w:rPr>
          <w:rFonts w:ascii="Arial" w:hAnsi="Arial" w:eastAsia="Arial"/>
          <w:b w:val="0"/>
          <w:i w:val="0"/>
          <w:sz w:val="24"/>
        </w:rPr>
        <w:t>A avaliação dos resultados combina métricas descritivas simples e avaliação manual. As métricas quantitativas incluem quantidade de palavras antes e depois da simplificação, redução percentual média e tempo aproximado de processamento. A avaliação manual atribui notas de 1 a 5 para clareza, fidelidade, completude, utilidade e risco de interpretação incorreta.</w:t>
      </w:r>
    </w:p>
    <w:p>
      <w:r>
        <w:rPr>
          <w:rFonts w:ascii="Arial" w:hAnsi="Arial" w:eastAsia="Arial"/>
        </w:rPr>
        <w:br w:type="page"/>
      </w:r>
    </w:p>
    <w:p>
      <w:pPr>
        <w:spacing w:before="120" w:after="80"/>
        <w:jc w:val="center"/>
      </w:pPr>
      <w:r>
        <w:rPr>
          <w:rFonts w:ascii="Arial" w:hAnsi="Arial" w:eastAsia="Arial"/>
          <w:i/>
          <w:sz w:val="20"/>
        </w:rPr>
        <w:t>Tabela 5 - Critérios de avaliação manual</w:t>
      </w:r>
    </w:p>
    <w:tbl>
      <w:tblPr>
        <w:tblStyle w:val="TableGrid"/>
        <w:tblW w:type="auto" w:w="0"/>
        <w:jc w:val="center"/>
        <w:tblLook w:firstColumn="1" w:firstRow="1" w:lastColumn="0" w:lastRow="0" w:noHBand="0" w:noVBand="1" w:val="04A0"/>
      </w:tblPr>
      <w:tblGrid>
        <w:gridCol w:w="3251"/>
        <w:gridCol w:w="3251"/>
        <w:gridCol w:w="3251"/>
      </w:tblGrid>
      <w:tr>
        <w:tc>
          <w:tcPr>
            <w:tcW w:type="dxa" w:w="181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Critério</w:t>
            </w:r>
          </w:p>
        </w:tc>
        <w:tc>
          <w:tcPr>
            <w:tcW w:type="dxa" w:w="5896"/>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Descrição</w:t>
            </w:r>
          </w:p>
        </w:tc>
        <w:tc>
          <w:tcPr>
            <w:tcW w:type="dxa" w:w="1247"/>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Escala</w:t>
            </w:r>
          </w:p>
        </w:tc>
      </w:tr>
      <w:tr>
        <w:tc>
          <w:tcPr>
            <w:tcW w:type="dxa" w:w="181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Clareza</w:t>
            </w:r>
          </w:p>
        </w:tc>
        <w:tc>
          <w:tcPr>
            <w:tcW w:type="dxa" w:w="5896"/>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Verifica se a saída ficou mais fácil de entender que o texto original.</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1 a 5</w:t>
            </w:r>
          </w:p>
        </w:tc>
      </w:tr>
      <w:tr>
        <w:tc>
          <w:tcPr>
            <w:tcW w:type="dxa" w:w="181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Fidelidade</w:t>
            </w:r>
          </w:p>
        </w:tc>
        <w:tc>
          <w:tcPr>
            <w:tcW w:type="dxa" w:w="5896"/>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Verifica se o significado jurídico essencial foi preservado.</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1 a 5</w:t>
            </w:r>
          </w:p>
        </w:tc>
      </w:tr>
      <w:tr>
        <w:tc>
          <w:tcPr>
            <w:tcW w:type="dxa" w:w="181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Completude</w:t>
            </w:r>
          </w:p>
        </w:tc>
        <w:tc>
          <w:tcPr>
            <w:tcW w:type="dxa" w:w="5896"/>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Verifica se informações importantes não foram omitidas.</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1 a 5</w:t>
            </w:r>
          </w:p>
        </w:tc>
      </w:tr>
      <w:tr>
        <w:tc>
          <w:tcPr>
            <w:tcW w:type="dxa" w:w="181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Utilidade</w:t>
            </w:r>
          </w:p>
        </w:tc>
        <w:tc>
          <w:tcPr>
            <w:tcW w:type="dxa" w:w="5896"/>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Verifica se a resposta ajuda o usuário leigo a compreender o conteúdo.</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1 a 5</w:t>
            </w:r>
          </w:p>
        </w:tc>
      </w:tr>
      <w:tr>
        <w:tc>
          <w:tcPr>
            <w:tcW w:type="dxa" w:w="181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Risco de erro</w:t>
            </w:r>
          </w:p>
        </w:tc>
        <w:tc>
          <w:tcPr>
            <w:tcW w:type="dxa" w:w="5896"/>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Verifica se a saída pode induzir interpretação incorreta.</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1 a 5</w:t>
            </w:r>
          </w:p>
        </w:tc>
      </w:tr>
    </w:tbl>
    <w:p>
      <w:pPr>
        <w:spacing w:after="80"/>
      </w:pPr>
    </w:p>
    <w:p>
      <w:pPr>
        <w:spacing w:before="160" w:after="80"/>
        <w:jc w:val="left"/>
      </w:pPr>
      <w:r>
        <w:rPr>
          <w:rFonts w:ascii="Arial" w:hAnsi="Arial" w:eastAsia="Arial"/>
          <w:b/>
          <w:sz w:val="24"/>
        </w:rPr>
        <w:t>6.9 Resultados Esperados</w:t>
      </w:r>
    </w:p>
    <w:p>
      <w:pPr>
        <w:spacing w:after="120" w:before="0" w:line="240" w:lineRule="auto"/>
        <w:jc w:val="both"/>
      </w:pPr>
      <w:r>
        <w:rPr>
          <w:rFonts w:ascii="Arial" w:hAnsi="Arial" w:eastAsia="Arial"/>
          <w:b w:val="0"/>
          <w:i w:val="0"/>
          <w:sz w:val="24"/>
        </w:rPr>
        <w:t>Espera-se que o sistema produza respostas mais claras e organizadas do que o texto jurídico original, preservando o significado central e reduzindo a necessidade de conhecimento técnico para compreensão inicial. Também se espera que a arquitetura local contribua para maior controle sobre os dados e que a saída em áudio aumente a acessibilidade. Como limitação esperada, reconhece-se que o modelo pode perder nuances jurídicas ou produzir simplificações imprecisas em casos complexos, motivo pelo qual o aviso de responsabilidade é obrigatório em todas as respostas.</w:t>
      </w:r>
    </w:p>
    <w:p>
      <w:pPr>
        <w:spacing w:before="240" w:after="120"/>
        <w:jc w:val="left"/>
      </w:pPr>
      <w:r>
        <w:rPr>
          <w:rFonts w:ascii="Arial" w:hAnsi="Arial" w:eastAsia="Arial"/>
          <w:b/>
          <w:sz w:val="26"/>
        </w:rPr>
        <w:t>7. Resultados</w:t>
      </w:r>
    </w:p>
    <w:p>
      <w:pPr>
        <w:spacing w:before="160" w:after="80"/>
        <w:jc w:val="left"/>
      </w:pPr>
      <w:r>
        <w:rPr>
          <w:rFonts w:ascii="Arial" w:hAnsi="Arial" w:eastAsia="Arial"/>
          <w:b/>
          <w:sz w:val="24"/>
        </w:rPr>
        <w:t>7.1 Estado Atual do Desenvolvimento</w:t>
      </w:r>
    </w:p>
    <w:p>
      <w:pPr>
        <w:spacing w:after="120" w:before="0" w:line="240" w:lineRule="auto"/>
        <w:jc w:val="both"/>
      </w:pPr>
      <w:r>
        <w:rPr>
          <w:rFonts w:ascii="Arial" w:hAnsi="Arial" w:eastAsia="Arial"/>
          <w:b w:val="0"/>
          <w:i w:val="0"/>
          <w:sz w:val="24"/>
        </w:rPr>
        <w:t>Com base na análise técnica do sistema, o IADvogado encontra-se em estágio intermediário de desenvolvimento, estimado em aproximadamente 60%. A arquitetura principal já contempla o fluxo de upload/processamento, módulos de OCR, cliente de LLM local, geração de áudio, cache de arquivos MP3 e integração inicial com WhatsApp. Entretanto, ainda existem lacunas importantes relacionadas à autenticação, consentimento LGPD, observabilidade estruturada e consulta por número de processo.</w:t>
      </w:r>
    </w:p>
    <w:p>
      <w:pPr>
        <w:spacing w:before="120" w:after="80"/>
        <w:jc w:val="center"/>
      </w:pPr>
      <w:r>
        <w:rPr>
          <w:rFonts w:ascii="Arial" w:hAnsi="Arial" w:eastAsia="Arial"/>
          <w:i/>
          <w:sz w:val="20"/>
        </w:rPr>
        <w:t>Tabela 6 - Síntese do estado atual do sistema</w:t>
      </w:r>
    </w:p>
    <w:tbl>
      <w:tblPr>
        <w:tblStyle w:val="TableGrid"/>
        <w:tblW w:type="auto" w:w="0"/>
        <w:jc w:val="center"/>
        <w:tblLook w:firstColumn="1" w:firstRow="1" w:lastColumn="0" w:lastRow="0" w:noHBand="0" w:noVBand="1" w:val="04A0"/>
      </w:tblPr>
      <w:tblGrid>
        <w:gridCol w:w="3251"/>
        <w:gridCol w:w="3251"/>
        <w:gridCol w:w="3251"/>
      </w:tblGrid>
      <w:tr>
        <w:tc>
          <w:tcPr>
            <w:tcW w:type="dxa" w:w="249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Item</w:t>
            </w:r>
          </w:p>
        </w:tc>
        <w:tc>
          <w:tcPr>
            <w:tcW w:type="dxa" w:w="2268"/>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Status</w:t>
            </w:r>
          </w:p>
        </w:tc>
        <w:tc>
          <w:tcPr>
            <w:tcW w:type="dxa" w:w="4649"/>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Comentário</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Upload e processamento</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Parcialmente implementado</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Fluxo principal de entrada e processamento de documentos está estruturado.</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LLM local</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Implementado/estruturado</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Uso de modelo local com cliente dedicado e fallback para respostas inconsistentes.</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OCR</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Implementado/estruturado</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Módulo previsto para extração de texto em imagens e PDFs escaneados.</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TTS</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Implementado/estruturado</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Geração de áudio com Edge TTS e cache local.</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WhatsApp</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Parcial</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Envio textual estruturado, com pendência de envio nativo de áudio.</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Consulta por número de processo</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Não implementado</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Endpoint identificado como 501/Not Implemented.</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Autenticação e consentimento</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Pendente</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Necessário para maior aderência à LGPD e rastreabilidade.</w:t>
            </w:r>
          </w:p>
        </w:tc>
      </w:tr>
      <w:tr>
        <w:tc>
          <w:tcPr>
            <w:tcW w:type="dxa" w:w="249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Logs e observabilidade</w:t>
            </w:r>
          </w:p>
        </w:tc>
        <w:tc>
          <w:tcPr>
            <w:tcW w:type="dxa" w:w="2268"/>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Pendente</w:t>
            </w:r>
          </w:p>
        </w:tc>
        <w:tc>
          <w:tcPr>
            <w:tcW w:type="dxa" w:w="464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Necessidade de substituir prints por logs estruturados.</w:t>
            </w:r>
          </w:p>
        </w:tc>
      </w:tr>
    </w:tbl>
    <w:p>
      <w:pPr>
        <w:spacing w:after="80"/>
      </w:pPr>
    </w:p>
    <w:p>
      <w:pPr>
        <w:spacing w:before="160" w:after="80"/>
        <w:jc w:val="left"/>
      </w:pPr>
      <w:r>
        <w:rPr>
          <w:rFonts w:ascii="Arial" w:hAnsi="Arial" w:eastAsia="Arial"/>
          <w:b/>
          <w:sz w:val="24"/>
        </w:rPr>
        <w:t>7.2 Resultados do Dataset e Análise Exploratória</w:t>
      </w:r>
    </w:p>
    <w:p>
      <w:pPr>
        <w:spacing w:after="120" w:before="0" w:line="240" w:lineRule="auto"/>
        <w:jc w:val="both"/>
      </w:pPr>
      <w:r>
        <w:rPr>
          <w:rFonts w:ascii="Arial" w:hAnsi="Arial" w:eastAsia="Arial"/>
          <w:b w:val="0"/>
          <w:i w:val="0"/>
          <w:sz w:val="24"/>
        </w:rPr>
        <w:t>A análise exploratória deve ser preenchida após a consolidação final do dataset. Para fins do relatório, recomenda-se apresentar as seguintes estatísticas: quantidade total de textos, média de palavras do texto original, média de palavras da versão simplificada, percentual médio de redução, distribuição por fonte e distribuição por tipo de documento.</w:t>
      </w:r>
    </w:p>
    <w:p>
      <w:r>
        <w:rPr>
          <w:rFonts w:ascii="Arial" w:hAnsi="Arial" w:eastAsia="Arial"/>
        </w:rPr>
        <w:br w:type="page"/>
      </w:r>
    </w:p>
    <w:p>
      <w:pPr>
        <w:spacing w:before="120" w:after="80"/>
        <w:jc w:val="center"/>
      </w:pPr>
      <w:r>
        <w:rPr>
          <w:rFonts w:ascii="Arial" w:hAnsi="Arial" w:eastAsia="Arial"/>
          <w:i/>
          <w:sz w:val="20"/>
        </w:rPr>
        <w:t>Tabela 7 - Estatísticas descritivas do dataset</w:t>
      </w:r>
    </w:p>
    <w:tbl>
      <w:tblPr>
        <w:tblStyle w:val="TableGrid"/>
        <w:tblW w:type="auto" w:w="0"/>
        <w:jc w:val="center"/>
        <w:tblLook w:firstColumn="1" w:firstRow="1" w:lastColumn="0" w:lastRow="0" w:noHBand="0" w:noVBand="1" w:val="04A0"/>
      </w:tblPr>
      <w:tblGrid>
        <w:gridCol w:w="4876"/>
        <w:gridCol w:w="4876"/>
      </w:tblGrid>
      <w:tr>
        <w:tc>
          <w:tcPr>
            <w:tcW w:type="dxa" w:w="4252"/>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Métrica</w:t>
            </w:r>
          </w:p>
        </w:tc>
        <w:tc>
          <w:tcPr>
            <w:tcW w:type="dxa" w:w="4819"/>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Resultado</w:t>
            </w:r>
          </w:p>
        </w:tc>
      </w:tr>
      <w:tr>
        <w:tc>
          <w:tcPr>
            <w:tcW w:type="dxa" w:w="4252"/>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Quantidade de textos analisados</w:t>
            </w:r>
          </w:p>
        </w:tc>
        <w:tc>
          <w:tcPr>
            <w:tcW w:type="dxa" w:w="481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4252"/>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Média de palavras nos textos originais</w:t>
            </w:r>
          </w:p>
        </w:tc>
        <w:tc>
          <w:tcPr>
            <w:tcW w:type="dxa" w:w="481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4252"/>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Média de palavras nas versões simplificadas</w:t>
            </w:r>
          </w:p>
        </w:tc>
        <w:tc>
          <w:tcPr>
            <w:tcW w:type="dxa" w:w="481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4252"/>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Redução percentual média</w:t>
            </w:r>
          </w:p>
        </w:tc>
        <w:tc>
          <w:tcPr>
            <w:tcW w:type="dxa" w:w="481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4252"/>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Quantidade de fontes utilizadas</w:t>
            </w:r>
          </w:p>
        </w:tc>
        <w:tc>
          <w:tcPr>
            <w:tcW w:type="dxa" w:w="481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4252"/>
            <w:vAlign w:val="center"/>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val="0"/>
                <w:sz w:val="16"/>
              </w:rPr>
              <w:t>Tipos de documentos utilizados</w:t>
            </w:r>
          </w:p>
        </w:tc>
        <w:tc>
          <w:tcPr>
            <w:tcW w:type="dxa" w:w="4819"/>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bl>
    <w:p>
      <w:pPr>
        <w:spacing w:after="80"/>
      </w:pPr>
    </w:p>
    <w:p>
      <w:pPr>
        <w:spacing w:after="120" w:before="0" w:line="240" w:lineRule="auto"/>
        <w:jc w:val="both"/>
      </w:pPr>
      <w:r>
        <w:rPr>
          <w:rFonts w:ascii="Arial" w:hAnsi="Arial" w:eastAsia="Arial"/>
          <w:b w:val="0"/>
          <w:i w:val="0"/>
          <w:sz w:val="24"/>
        </w:rPr>
        <w:t>A partir desses dados, será possível verificar se a solução reduziu a complexidade superficial dos textos e se manteve organização suficiente para compreensão. A redução de palavras, isoladamente, não garante melhor compreensão; por isso, a avaliação manual é necessária para verificar clareza e fidelidade semântica.</w:t>
      </w:r>
    </w:p>
    <w:p>
      <w:pPr>
        <w:spacing w:before="160" w:after="80"/>
        <w:jc w:val="left"/>
      </w:pPr>
      <w:r>
        <w:rPr>
          <w:rFonts w:ascii="Arial" w:hAnsi="Arial" w:eastAsia="Arial"/>
          <w:b/>
          <w:sz w:val="24"/>
        </w:rPr>
        <w:t>7.3 Exemplo de Funcionamento do Artefato</w:t>
      </w:r>
    </w:p>
    <w:p>
      <w:pPr>
        <w:spacing w:after="120" w:before="0" w:line="240" w:lineRule="auto"/>
        <w:jc w:val="both"/>
      </w:pPr>
      <w:r>
        <w:rPr>
          <w:rFonts w:ascii="Arial" w:hAnsi="Arial" w:eastAsia="Arial"/>
          <w:b w:val="0"/>
          <w:i w:val="0"/>
          <w:sz w:val="24"/>
        </w:rPr>
        <w:t>A seguir deve ser inserido um exemplo real utilizado no teste do sistema. Recomenda-se escolher um texto curto, público e sem dados pessoais sensíveis, apresentando a entrada original e a saída gerada pelo IADvogado.</w:t>
      </w:r>
    </w:p>
    <w:p>
      <w:pPr>
        <w:spacing w:after="120" w:line="240" w:lineRule="auto"/>
        <w:jc w:val="both"/>
      </w:pPr>
      <w:r>
        <w:rPr>
          <w:rFonts w:ascii="Arial" w:hAnsi="Arial" w:eastAsia="Arial"/>
          <w:b/>
          <w:sz w:val="24"/>
        </w:rPr>
        <w:t xml:space="preserve">Texto original: </w:t>
      </w:r>
      <w:r>
        <w:rPr>
          <w:rFonts w:ascii="Arial" w:hAnsi="Arial" w:eastAsia="Arial"/>
          <w:sz w:val="24"/>
        </w:rPr>
        <w:t>[PREENCHER COM UM TRECHO JURÍDICO CURTO UTILIZADO NO TESTE]</w:t>
      </w:r>
    </w:p>
    <w:p>
      <w:pPr>
        <w:spacing w:after="120" w:line="240" w:lineRule="auto"/>
        <w:jc w:val="both"/>
      </w:pPr>
      <w:r>
        <w:rPr>
          <w:rFonts w:ascii="Arial" w:hAnsi="Arial" w:eastAsia="Arial"/>
          <w:b/>
          <w:sz w:val="24"/>
        </w:rPr>
        <w:t xml:space="preserve">Resumo simplificado gerado: </w:t>
      </w:r>
      <w:r>
        <w:rPr>
          <w:rFonts w:ascii="Arial" w:hAnsi="Arial" w:eastAsia="Arial"/>
          <w:sz w:val="24"/>
        </w:rPr>
        <w:t>[PREENCHER COM A SAÍDA DO MODELO]</w:t>
      </w:r>
    </w:p>
    <w:p>
      <w:pPr>
        <w:spacing w:after="120" w:line="240" w:lineRule="auto"/>
        <w:jc w:val="both"/>
      </w:pPr>
      <w:r>
        <w:rPr>
          <w:rFonts w:ascii="Arial" w:hAnsi="Arial" w:eastAsia="Arial"/>
          <w:b/>
          <w:sz w:val="24"/>
        </w:rPr>
        <w:t xml:space="preserve">Explicação em linguagem cotidiana: </w:t>
      </w:r>
      <w:r>
        <w:rPr>
          <w:rFonts w:ascii="Arial" w:hAnsi="Arial" w:eastAsia="Arial"/>
          <w:sz w:val="24"/>
        </w:rPr>
        <w:t>[PREENCHER COM A SAÍDA DO MODELO]</w:t>
      </w:r>
    </w:p>
    <w:p>
      <w:pPr>
        <w:spacing w:after="120" w:line="240" w:lineRule="auto"/>
        <w:jc w:val="both"/>
      </w:pPr>
      <w:r>
        <w:rPr>
          <w:rFonts w:ascii="Arial" w:hAnsi="Arial" w:eastAsia="Arial"/>
          <w:b/>
          <w:sz w:val="24"/>
        </w:rPr>
        <w:t xml:space="preserve">Principais direitos, deveres ou consequências: </w:t>
      </w:r>
      <w:r>
        <w:rPr>
          <w:rFonts w:ascii="Arial" w:hAnsi="Arial" w:eastAsia="Arial"/>
          <w:sz w:val="24"/>
        </w:rPr>
        <w:t>[PREENCHER COM A SAÍDA DO MODELO]</w:t>
      </w:r>
    </w:p>
    <w:p>
      <w:pPr>
        <w:spacing w:after="120" w:line="240" w:lineRule="auto"/>
        <w:jc w:val="both"/>
      </w:pPr>
      <w:r>
        <w:rPr>
          <w:rFonts w:ascii="Arial" w:hAnsi="Arial" w:eastAsia="Arial"/>
          <w:b/>
          <w:sz w:val="24"/>
        </w:rPr>
        <w:t xml:space="preserve">Aviso de responsabilidade: </w:t>
      </w:r>
      <w:r>
        <w:rPr>
          <w:rFonts w:ascii="Arial" w:hAnsi="Arial" w:eastAsia="Arial"/>
          <w:sz w:val="24"/>
        </w:rPr>
        <w:t>Esta explicação foi gerada por inteligência artificial para facilitar a compreensão do texto. Ela não substitui a análise de um advogado ou profissional jurídico habilitado.</w:t>
      </w:r>
    </w:p>
    <w:p>
      <w:pPr>
        <w:spacing w:before="160" w:after="80"/>
        <w:jc w:val="left"/>
      </w:pPr>
      <w:r>
        <w:rPr>
          <w:rFonts w:ascii="Arial" w:hAnsi="Arial" w:eastAsia="Arial"/>
          <w:b/>
          <w:sz w:val="24"/>
        </w:rPr>
        <w:t>7.4 Avaliação dos Resultados</w:t>
      </w:r>
    </w:p>
    <w:p>
      <w:pPr>
        <w:spacing w:after="120" w:before="0" w:line="240" w:lineRule="auto"/>
        <w:jc w:val="both"/>
      </w:pPr>
      <w:r>
        <w:rPr>
          <w:rFonts w:ascii="Arial" w:hAnsi="Arial" w:eastAsia="Arial"/>
          <w:b w:val="0"/>
          <w:i w:val="0"/>
          <w:sz w:val="24"/>
        </w:rPr>
        <w:t>A avaliação manual deve ser realizada sobre cada texto do dataset. A Tabela 8 apresenta o modelo de registro dos resultados. Após o preenchimento, recomenda-se calcular as médias por critério e discutir os principais erros observados.</w:t>
      </w:r>
    </w:p>
    <w:p>
      <w:pPr>
        <w:spacing w:before="120" w:after="80"/>
        <w:jc w:val="center"/>
      </w:pPr>
      <w:r>
        <w:rPr>
          <w:rFonts w:ascii="Arial" w:hAnsi="Arial" w:eastAsia="Arial"/>
          <w:i/>
          <w:sz w:val="20"/>
        </w:rPr>
        <w:t>Tabela 8 - Modelo de avaliação manual dos textos</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680"/>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ID</w:t>
            </w:r>
          </w:p>
        </w:tc>
        <w:tc>
          <w:tcPr>
            <w:tcW w:type="dxa" w:w="113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Clareza</w:t>
            </w:r>
          </w:p>
        </w:tc>
        <w:tc>
          <w:tcPr>
            <w:tcW w:type="dxa" w:w="1247"/>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Fidelidade</w:t>
            </w:r>
          </w:p>
        </w:tc>
        <w:tc>
          <w:tcPr>
            <w:tcW w:type="dxa" w:w="130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Completude</w:t>
            </w:r>
          </w:p>
        </w:tc>
        <w:tc>
          <w:tcPr>
            <w:tcW w:type="dxa" w:w="113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Utilidade</w:t>
            </w:r>
          </w:p>
        </w:tc>
        <w:tc>
          <w:tcPr>
            <w:tcW w:type="dxa" w:w="1191"/>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Risco de erro</w:t>
            </w:r>
          </w:p>
        </w:tc>
        <w:tc>
          <w:tcPr>
            <w:tcW w:type="dxa" w:w="2665"/>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Observações</w:t>
            </w:r>
          </w:p>
        </w:tc>
      </w:tr>
      <w:tr>
        <w:tc>
          <w:tcPr>
            <w:tcW w:type="dxa" w:w="68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1</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30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9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266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68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2</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30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9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266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68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3</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30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9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266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r>
        <w:tc>
          <w:tcPr>
            <w:tcW w:type="dxa" w:w="680"/>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Média</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247"/>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30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3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119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 ]</w:t>
            </w:r>
          </w:p>
        </w:tc>
        <w:tc>
          <w:tcPr>
            <w:tcW w:type="dxa" w:w="2665"/>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[PREENCHER]</w:t>
            </w:r>
          </w:p>
        </w:tc>
      </w:tr>
    </w:tbl>
    <w:p>
      <w:pPr>
        <w:spacing w:after="80"/>
      </w:pPr>
    </w:p>
    <w:p>
      <w:pPr>
        <w:spacing w:after="120" w:before="0" w:line="240" w:lineRule="auto"/>
        <w:jc w:val="both"/>
      </w:pPr>
      <w:r>
        <w:rPr>
          <w:rFonts w:ascii="Arial" w:hAnsi="Arial" w:eastAsia="Arial"/>
          <w:b w:val="0"/>
          <w:i w:val="0"/>
          <w:sz w:val="24"/>
        </w:rPr>
        <w:t>Na versão final, a discussão deve indicar se os textos simplificados ficaram mais compreensíveis, se houve perda de informação relevante e em quais casos o modelo apresentou maior risco de erro. Também é importante comentar eventuais limitações do OCR, do prompt e do modelo escolhido.</w:t>
      </w:r>
    </w:p>
    <w:p>
      <w:pPr>
        <w:spacing w:before="160" w:after="80"/>
        <w:jc w:val="left"/>
      </w:pPr>
      <w:r>
        <w:rPr>
          <w:rFonts w:ascii="Arial" w:hAnsi="Arial" w:eastAsia="Arial"/>
          <w:b/>
          <w:sz w:val="24"/>
        </w:rPr>
        <w:t>7.5 Qualidade de Software</w:t>
      </w:r>
    </w:p>
    <w:p>
      <w:pPr>
        <w:spacing w:after="120" w:before="0" w:line="240" w:lineRule="auto"/>
        <w:jc w:val="both"/>
      </w:pPr>
      <w:r>
        <w:rPr>
          <w:rFonts w:ascii="Arial" w:hAnsi="Arial" w:eastAsia="Arial"/>
          <w:b w:val="0"/>
          <w:i w:val="0"/>
          <w:sz w:val="24"/>
        </w:rPr>
        <w:t>A análise de qualidade do software pode ser organizada a partir de atributos da ISO/IEC 25010, considerando adequação funcional, desempenho, compatibilidade, segurança e manutenibilidade. No estado atual, o sistema apresenta boa modularidade e potencial de manutenção, mas ainda possui pendências de segurança, autenticação e observabilidade.</w:t>
      </w:r>
    </w:p>
    <w:p>
      <w:pPr>
        <w:spacing w:before="120" w:after="80"/>
        <w:jc w:val="center"/>
      </w:pPr>
      <w:r>
        <w:rPr>
          <w:rFonts w:ascii="Arial" w:hAnsi="Arial" w:eastAsia="Arial"/>
          <w:i/>
          <w:sz w:val="20"/>
        </w:rPr>
        <w:t>Tabela 9 - Diagnóstico de qualidade do software</w:t>
      </w:r>
    </w:p>
    <w:tbl>
      <w:tblPr>
        <w:tblStyle w:val="TableGrid"/>
        <w:tblW w:type="auto" w:w="0"/>
        <w:jc w:val="center"/>
        <w:tblLook w:firstColumn="1" w:firstRow="1" w:lastColumn="0" w:lastRow="0" w:noHBand="0" w:noVBand="1" w:val="04A0"/>
      </w:tblPr>
      <w:tblGrid>
        <w:gridCol w:w="3251"/>
        <w:gridCol w:w="3251"/>
        <w:gridCol w:w="3251"/>
      </w:tblGrid>
      <w:tr>
        <w:tc>
          <w:tcPr>
            <w:tcW w:type="dxa" w:w="2041"/>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Atributo</w:t>
            </w:r>
          </w:p>
        </w:tc>
        <w:tc>
          <w:tcPr>
            <w:tcW w:type="dxa" w:w="2154"/>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Avaliação</w:t>
            </w:r>
          </w:p>
        </w:tc>
        <w:tc>
          <w:tcPr>
            <w:tcW w:type="dxa" w:w="5102"/>
            <w:vAlign w:val="center"/>
            <w:shd w:fill="D9D9D9"/>
            <w:tcBorders>
              <w:top w:sz="4" w:val="single" w:color="000000"/>
              <w:left w:sz="4" w:val="single" w:color="000000"/>
              <w:bottom w:sz="4" w:val="single" w:color="000000"/>
              <w:right w:sz="4" w:val="single" w:color="000000"/>
            </w:tcBorders>
          </w:tcPr>
          <w:p>
            <w:pPr>
              <w:spacing w:after="0"/>
              <w:jc w:val="center"/>
            </w:pPr>
            <w:r>
              <w:rPr>
                <w:rFonts w:ascii="Arial" w:hAnsi="Arial" w:eastAsia="Arial"/>
                <w:sz w:val="16"/>
              </w:rPr>
            </w:r>
            <w:r>
              <w:rPr>
                <w:rFonts w:ascii="Arial" w:hAnsi="Arial" w:eastAsia="Arial"/>
                <w:b/>
                <w:sz w:val="16"/>
              </w:rPr>
              <w:t>Discussão</w:t>
            </w:r>
          </w:p>
        </w:tc>
      </w:tr>
      <w:tr>
        <w:tc>
          <w:tcPr>
            <w:tcW w:type="dxa" w:w="204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Adequação funcional</w:t>
            </w:r>
          </w:p>
        </w:tc>
        <w:tc>
          <w:tcPr>
            <w:tcW w:type="dxa" w:w="215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Parcial</w:t>
            </w:r>
          </w:p>
        </w:tc>
        <w:tc>
          <w:tcPr>
            <w:tcW w:type="dxa" w:w="5102"/>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O sistema contempla o fluxo principal de simplificação, mas ainda não possui todas as funcionalidades planejadas.</w:t>
            </w:r>
          </w:p>
        </w:tc>
      </w:tr>
      <w:tr>
        <w:tc>
          <w:tcPr>
            <w:tcW w:type="dxa" w:w="204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Eficiência de desempenho</w:t>
            </w:r>
          </w:p>
        </w:tc>
        <w:tc>
          <w:tcPr>
            <w:tcW w:type="dxa" w:w="215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Boa, com ressalvas</w:t>
            </w:r>
          </w:p>
        </w:tc>
        <w:tc>
          <w:tcPr>
            <w:tcW w:type="dxa" w:w="5102"/>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O cache de áudio reduz tempo em respostas repetidas, mas a inferência local pode variar conforme hardware.</w:t>
            </w:r>
          </w:p>
        </w:tc>
      </w:tr>
      <w:tr>
        <w:tc>
          <w:tcPr>
            <w:tcW w:type="dxa" w:w="204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Compatibilidade</w:t>
            </w:r>
          </w:p>
        </w:tc>
        <w:tc>
          <w:tcPr>
            <w:tcW w:type="dxa" w:w="215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Parcial</w:t>
            </w:r>
          </w:p>
        </w:tc>
        <w:tc>
          <w:tcPr>
            <w:tcW w:type="dxa" w:w="5102"/>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 integração com WhatsApp existe de forma inicial, mas precisa evoluir para envio completo de áudio.</w:t>
            </w:r>
          </w:p>
        </w:tc>
      </w:tr>
      <w:tr>
        <w:tc>
          <w:tcPr>
            <w:tcW w:type="dxa" w:w="204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Segurança</w:t>
            </w:r>
          </w:p>
        </w:tc>
        <w:tc>
          <w:tcPr>
            <w:tcW w:type="dxa" w:w="215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Ponto de atenção</w:t>
            </w:r>
          </w:p>
        </w:tc>
        <w:tc>
          <w:tcPr>
            <w:tcW w:type="dxa" w:w="5102"/>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Autenticação, consentimento formal e criptografia devem ser fortalecidos antes de uso real.</w:t>
            </w:r>
          </w:p>
        </w:tc>
      </w:tr>
      <w:tr>
        <w:tc>
          <w:tcPr>
            <w:tcW w:type="dxa" w:w="2041"/>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Manutenibilidade</w:t>
            </w:r>
          </w:p>
        </w:tc>
        <w:tc>
          <w:tcPr>
            <w:tcW w:type="dxa" w:w="2154"/>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Alta</w:t>
            </w:r>
          </w:p>
        </w:tc>
        <w:tc>
          <w:tcPr>
            <w:tcW w:type="dxa" w:w="5102"/>
            <w:vAlign w:val="center"/>
            <w:tcBorders>
              <w:top w:sz="4" w:val="single" w:color="000000"/>
              <w:left w:sz="4" w:val="single" w:color="000000"/>
              <w:bottom w:sz="4" w:val="single" w:color="000000"/>
              <w:right w:sz="4" w:val="single" w:color="000000"/>
            </w:tcBorders>
          </w:tcPr>
          <w:p>
            <w:pPr>
              <w:spacing w:after="0"/>
              <w:jc w:val="left"/>
            </w:pPr>
            <w:r>
              <w:rPr>
                <w:rFonts w:ascii="Arial" w:hAnsi="Arial" w:eastAsia="Arial"/>
                <w:sz w:val="16"/>
              </w:rPr>
            </w:r>
            <w:r>
              <w:rPr>
                <w:rFonts w:ascii="Arial" w:hAnsi="Arial" w:eastAsia="Arial"/>
                <w:b w:val="0"/>
                <w:sz w:val="16"/>
              </w:rPr>
              <w:t>A separação por módulos facilita evolução e substituição de componentes.</w:t>
            </w:r>
          </w:p>
        </w:tc>
      </w:tr>
    </w:tbl>
    <w:p>
      <w:pPr>
        <w:spacing w:after="80"/>
      </w:pPr>
    </w:p>
    <w:p>
      <w:pPr>
        <w:spacing w:before="160" w:after="80"/>
        <w:jc w:val="left"/>
      </w:pPr>
      <w:r>
        <w:rPr>
          <w:rFonts w:ascii="Arial" w:hAnsi="Arial" w:eastAsia="Arial"/>
          <w:b/>
          <w:sz w:val="24"/>
        </w:rPr>
        <w:t>7.6 Aspectos Éticos do Uso da IA e Responsabilidade</w:t>
      </w:r>
    </w:p>
    <w:p>
      <w:pPr>
        <w:spacing w:after="120" w:before="0" w:line="240" w:lineRule="auto"/>
        <w:jc w:val="both"/>
      </w:pPr>
      <w:r>
        <w:rPr>
          <w:rFonts w:ascii="Arial" w:hAnsi="Arial" w:eastAsia="Arial"/>
          <w:b w:val="0"/>
          <w:i w:val="0"/>
          <w:sz w:val="24"/>
        </w:rPr>
        <w:t>O uso de IA em contexto jurídico exige atenção especial porque respostas incorretas podem induzir o usuário a compreender equivocadamente seus direitos, prazos, deveres ou consequências processuais. O IADvogado, portanto, deve ser apresentado como ferramenta de apoio à compreensão textual, e não como sistema de aconselhamento jurídico.</w:t>
      </w:r>
    </w:p>
    <w:p>
      <w:pPr>
        <w:spacing w:after="120" w:before="0" w:line="240" w:lineRule="auto"/>
        <w:jc w:val="both"/>
      </w:pPr>
      <w:r>
        <w:rPr>
          <w:rFonts w:ascii="Arial" w:hAnsi="Arial" w:eastAsia="Arial"/>
          <w:b w:val="0"/>
          <w:i w:val="0"/>
          <w:sz w:val="24"/>
        </w:rPr>
        <w:t>O primeiro risco ético é a alucinação, fenômeno em que o modelo gera informações plausíveis, porém incorretas ou não presentes no texto original. Para mitigar esse risco, o prompt orienta o modelo a não inventar informações e a preservar o sentido do documento. Além disso, a avaliação manual deve verificar fidelidade e completude.</w:t>
      </w:r>
    </w:p>
    <w:p>
      <w:pPr>
        <w:spacing w:after="120" w:before="0" w:line="240" w:lineRule="auto"/>
        <w:jc w:val="both"/>
      </w:pPr>
      <w:r>
        <w:rPr>
          <w:rFonts w:ascii="Arial" w:hAnsi="Arial" w:eastAsia="Arial"/>
          <w:b w:val="0"/>
          <w:i w:val="0"/>
          <w:sz w:val="24"/>
        </w:rPr>
        <w:t>O segundo ponto é a privacidade. Documentos jurídicos podem conter dados pessoais e sensíveis. Mesmo em processos públicos, a reutilização de dados deve observar finalidade legítima, minimização, transparência e segurança. Por isso, o projeto valoriza processamento local, anonimização quando necessário e política de retenção limitada.</w:t>
      </w:r>
    </w:p>
    <w:p>
      <w:pPr>
        <w:spacing w:after="120" w:before="0" w:line="240" w:lineRule="auto"/>
        <w:jc w:val="both"/>
      </w:pPr>
      <w:r>
        <w:rPr>
          <w:rFonts w:ascii="Arial" w:hAnsi="Arial" w:eastAsia="Arial"/>
          <w:b w:val="0"/>
          <w:i w:val="0"/>
          <w:sz w:val="24"/>
        </w:rPr>
        <w:t>O terceiro ponto é a transparência. O usuário deve saber que a explicação foi gerada por IA e que a resposta pode conter limitações. Em todas as saídas, deve haver aviso informando que o sistema não substitui advogado, defensor público ou profissional jurídico habilitado.</w:t>
      </w:r>
    </w:p>
    <w:p>
      <w:pPr>
        <w:spacing w:after="120" w:before="0" w:line="240" w:lineRule="auto"/>
        <w:jc w:val="both"/>
      </w:pPr>
      <w:r>
        <w:rPr>
          <w:rFonts w:ascii="Arial" w:hAnsi="Arial" w:eastAsia="Arial"/>
          <w:b w:val="0"/>
          <w:i w:val="0"/>
          <w:sz w:val="24"/>
        </w:rPr>
        <w:t>Por fim, o projeto possui uma dimensão social positiva, pois busca reduzir barreiras de compreensão do juridiquês. Essa contribuição, entretanto, só é válida se acompanhada de limites claros, responsabilidade humana e controle sobre dados e decisões.</w:t>
      </w:r>
    </w:p>
    <w:p>
      <w:pPr>
        <w:spacing w:before="160" w:after="80"/>
        <w:jc w:val="left"/>
      </w:pPr>
      <w:r>
        <w:rPr>
          <w:rFonts w:ascii="Arial" w:hAnsi="Arial" w:eastAsia="Arial"/>
          <w:b/>
          <w:sz w:val="24"/>
        </w:rPr>
        <w:t>7.7 Endereço GitHub e Endereço do Vídeo no YouTube</w:t>
      </w:r>
    </w:p>
    <w:p>
      <w:pPr>
        <w:spacing w:after="120" w:line="240" w:lineRule="auto"/>
        <w:jc w:val="both"/>
      </w:pPr>
      <w:r>
        <w:rPr>
          <w:rFonts w:ascii="Arial" w:hAnsi="Arial" w:eastAsia="Arial"/>
          <w:b/>
          <w:sz w:val="24"/>
        </w:rPr>
        <w:t xml:space="preserve">Repositório público no GitHub: </w:t>
      </w:r>
      <w:r>
        <w:rPr>
          <w:rFonts w:ascii="Arial" w:hAnsi="Arial" w:eastAsia="Arial"/>
          <w:sz w:val="24"/>
        </w:rPr>
        <w:t>[PREENCHER COM O LINK]</w:t>
      </w:r>
    </w:p>
    <w:p>
      <w:pPr>
        <w:spacing w:after="120" w:line="240" w:lineRule="auto"/>
        <w:jc w:val="both"/>
      </w:pPr>
      <w:r>
        <w:rPr>
          <w:rFonts w:ascii="Arial" w:hAnsi="Arial" w:eastAsia="Arial"/>
          <w:b/>
          <w:sz w:val="24"/>
        </w:rPr>
        <w:t xml:space="preserve">Vídeo público no YouTube: </w:t>
      </w:r>
      <w:r>
        <w:rPr>
          <w:rFonts w:ascii="Arial" w:hAnsi="Arial" w:eastAsia="Arial"/>
          <w:sz w:val="24"/>
        </w:rPr>
        <w:t>[PREENCHER COM O LINK]</w:t>
      </w:r>
    </w:p>
    <w:p>
      <w:pPr>
        <w:spacing w:after="120" w:before="0" w:line="240" w:lineRule="auto"/>
        <w:jc w:val="both"/>
      </w:pPr>
      <w:r>
        <w:rPr>
          <w:rFonts w:ascii="Arial" w:hAnsi="Arial" w:eastAsia="Arial"/>
          <w:b w:val="0"/>
          <w:i w:val="0"/>
          <w:sz w:val="24"/>
        </w:rPr>
        <w:t>O repositório deve conter o relatório atualizado, dataset utilizado com breve descrição, notebooks ou códigos Python do projeto completo, arquivos-fonte comentados e cabeçalho com identificação dos integrantes, síntese do arquivo e histórico de alterações.</w:t>
      </w:r>
    </w:p>
    <w:p>
      <w:pPr>
        <w:spacing w:before="240" w:after="120"/>
        <w:jc w:val="left"/>
      </w:pPr>
      <w:r>
        <w:rPr>
          <w:rFonts w:ascii="Arial" w:hAnsi="Arial" w:eastAsia="Arial"/>
          <w:b/>
          <w:sz w:val="26"/>
        </w:rPr>
        <w:t>8. Conclusão</w:t>
      </w:r>
    </w:p>
    <w:p>
      <w:pPr>
        <w:spacing w:after="120" w:before="0" w:line="240" w:lineRule="auto"/>
        <w:jc w:val="both"/>
      </w:pPr>
      <w:r>
        <w:rPr>
          <w:rFonts w:ascii="Arial" w:hAnsi="Arial" w:eastAsia="Arial"/>
          <w:b w:val="0"/>
          <w:i w:val="0"/>
          <w:sz w:val="24"/>
        </w:rPr>
        <w:t>O projeto IADvogado demonstrou a viabilidade de aplicar modelos de linguagem à simplificação de textos jurídicos curtos, com foco em acessibilidade, inclusão digital e compreensão inicial de documentos legais por pessoas leigas. A proposta evoluiu de uma ideia conceitual para uma arquitetura técnica modular, contemplando API, processamento local por LLM, OCR, geração de áudio, cache e integração inicial com canais de comunicação.</w:t>
      </w:r>
    </w:p>
    <w:p>
      <w:pPr>
        <w:spacing w:after="120" w:before="0" w:line="240" w:lineRule="auto"/>
        <w:jc w:val="both"/>
      </w:pPr>
      <w:r>
        <w:rPr>
          <w:rFonts w:ascii="Arial" w:hAnsi="Arial" w:eastAsia="Arial"/>
          <w:b w:val="0"/>
          <w:i w:val="0"/>
          <w:sz w:val="24"/>
        </w:rPr>
        <w:t>O objetivo geral foi parcialmente alcançado na medida em que o sistema apresenta estrutura funcional para receber textos ou documentos, processá-los e gerar explicações simplificadas. Contudo, para que o protótipo alcance maturidade maior, ainda é necessário consolidar o dataset final, preencher os resultados experimentais, concluir a avaliação manual, fortalecer autenticação e consentimento LGPD, melhorar observabilidade e finalizar integrações pendentes.</w:t>
      </w:r>
    </w:p>
    <w:p>
      <w:pPr>
        <w:spacing w:after="120" w:before="0" w:line="240" w:lineRule="auto"/>
        <w:jc w:val="both"/>
      </w:pPr>
      <w:r>
        <w:rPr>
          <w:rFonts w:ascii="Arial" w:hAnsi="Arial" w:eastAsia="Arial"/>
          <w:b w:val="0"/>
          <w:i w:val="0"/>
          <w:sz w:val="24"/>
        </w:rPr>
        <w:t>Como contribuição acadêmica, o trabalho evidencia que IA generativa pode ser utilizada em problemas sociais reais quando aplicada com escopo claro, metodologia controlada e responsabilidade ética. Como trabalho futuro, recomenda-se ampliar o dataset, testar modelos especializados em português jurídico, implementar autenticação segura, integrar a API pública do DataJud de forma assíncrona, melhorar as métricas de avaliação e realizar testes com usuários reais para validar a compreensão das explicações geradas.</w:t>
      </w:r>
    </w:p>
    <w:p>
      <w:pPr>
        <w:spacing w:before="240" w:after="120"/>
        <w:jc w:val="left"/>
      </w:pPr>
      <w:r>
        <w:rPr>
          <w:rFonts w:ascii="Arial" w:hAnsi="Arial" w:eastAsia="Arial"/>
          <w:b/>
          <w:sz w:val="26"/>
        </w:rPr>
        <w:t>9. Referências Bibliográficas</w:t>
      </w:r>
    </w:p>
    <w:p>
      <w:pPr>
        <w:spacing w:after="120"/>
        <w:jc w:val="both"/>
      </w:pPr>
      <w:r>
        <w:rPr>
          <w:rFonts w:ascii="Arial" w:hAnsi="Arial" w:eastAsia="Arial"/>
          <w:sz w:val="20"/>
        </w:rPr>
        <w:t>ALVES, A. et al. Automatic Simplification of Legal Texts in Portuguese Using Machine Learning. In: International Conference on Artificial Intelligence and Law / related proceedings, 2023. Disponível em: &lt;https://pergamum.cjf.jus.br/pergamumweb/vinculos/00015d/00015d8c.pdf&gt;. Acesso em: 23 maio 2026.</w:t>
      </w:r>
    </w:p>
    <w:p>
      <w:pPr>
        <w:spacing w:after="120"/>
        <w:jc w:val="both"/>
      </w:pPr>
      <w:r>
        <w:rPr>
          <w:rFonts w:ascii="Arial" w:hAnsi="Arial" w:eastAsia="Arial"/>
          <w:sz w:val="20"/>
        </w:rPr>
        <w:t>BRASIL. Lei nº 13.709, de 14 de agosto de 2018. Lei Geral de Proteção de Dados Pessoais (LGPD). Diário Oficial da União, Brasília, DF, 2018. Disponível em: &lt;https://www.planalto.gov.br/ccivil_03/_ato2015-2018/2018/lei/l13709.htm&gt;. Acesso em: 23 maio 2026.</w:t>
      </w:r>
    </w:p>
    <w:p>
      <w:pPr>
        <w:spacing w:after="120"/>
        <w:jc w:val="both"/>
      </w:pPr>
      <w:r>
        <w:rPr>
          <w:rFonts w:ascii="Arial" w:hAnsi="Arial" w:eastAsia="Arial"/>
          <w:sz w:val="20"/>
        </w:rPr>
        <w:t>CAVOUKIAN, Ann. Privacy by Design: The 7 Foundational Principles. Information and Privacy Commissioner of Ontario, 2009.</w:t>
      </w:r>
    </w:p>
    <w:p>
      <w:pPr>
        <w:spacing w:after="120"/>
        <w:jc w:val="both"/>
      </w:pPr>
      <w:r>
        <w:rPr>
          <w:rFonts w:ascii="Arial" w:hAnsi="Arial" w:eastAsia="Arial"/>
          <w:sz w:val="20"/>
        </w:rPr>
        <w:t>CHALKIDIS, Ilias et al. LEGAL-BERT: The Muppets straight out of Law School. Findings of the Association for Computational Linguistics: EMNLP 2020, p. 2898-2904, 2020. Disponível em: &lt;https://aclanthology.org/2020.findings-emnlp.261/&gt;. Acesso em: 23 maio 2026.</w:t>
      </w:r>
    </w:p>
    <w:p>
      <w:pPr>
        <w:spacing w:after="120"/>
        <w:jc w:val="both"/>
      </w:pPr>
      <w:r>
        <w:rPr>
          <w:rFonts w:ascii="Arial" w:hAnsi="Arial" w:eastAsia="Arial"/>
          <w:sz w:val="20"/>
        </w:rPr>
        <w:t>COCKBURN, Alistair. Hexagonal Architecture: Ports and Adapters. 2005. Disponível em: &lt;https://alistair.cockburn.us/hexagonal-architecture/&gt;. Acesso em: 23 maio 2026.</w:t>
      </w:r>
    </w:p>
    <w:p>
      <w:pPr>
        <w:spacing w:after="120"/>
        <w:jc w:val="both"/>
      </w:pPr>
      <w:r>
        <w:rPr>
          <w:rFonts w:ascii="Arial" w:hAnsi="Arial" w:eastAsia="Arial"/>
          <w:sz w:val="20"/>
        </w:rPr>
        <w:t>CONSELHO NACIONAL DE JUSTIÇA. Resolução nº 331, de 20 de agosto de 2020. Institui a Base Nacional de Dados do Poder Judiciário - DataJud. Brasília: CNJ, 2020. Disponível em: &lt;https://atos.cnj.jus.br/atos/detalhar/3428&gt;. Acesso em: 23 maio 2026.</w:t>
      </w:r>
    </w:p>
    <w:p>
      <w:pPr>
        <w:spacing w:after="120"/>
        <w:jc w:val="both"/>
      </w:pPr>
      <w:r>
        <w:rPr>
          <w:rFonts w:ascii="Arial" w:hAnsi="Arial" w:eastAsia="Arial"/>
          <w:sz w:val="20"/>
        </w:rPr>
        <w:t>DETTMERS, Tim et al. QLoRA: Efficient Finetuning of Quantized LLMs. arXiv preprint arXiv:2305.14314, 2023. Disponível em: &lt;https://arxiv.org/abs/2305.14314&gt;. Acesso em: 23 maio 2026.</w:t>
      </w:r>
    </w:p>
    <w:p>
      <w:pPr>
        <w:spacing w:after="120"/>
        <w:jc w:val="both"/>
      </w:pPr>
      <w:r>
        <w:rPr>
          <w:rFonts w:ascii="Arial" w:hAnsi="Arial" w:eastAsia="Arial"/>
          <w:sz w:val="20"/>
        </w:rPr>
        <w:t>FASTAPI. FastAPI Documentation. Disponível em: &lt;https://fastapi.tiangolo.com/&gt;. Acesso em: 23 maio 2026.</w:t>
      </w:r>
    </w:p>
    <w:p>
      <w:pPr>
        <w:spacing w:after="120"/>
        <w:jc w:val="both"/>
      </w:pPr>
      <w:r>
        <w:rPr>
          <w:rFonts w:ascii="Arial" w:hAnsi="Arial" w:eastAsia="Arial"/>
          <w:sz w:val="20"/>
        </w:rPr>
        <w:t>GARIMELLA, Aparna et al. Text Simplification for Legal Domain: Insights and Challenges. In: Proceedings of the Natural Legal Language Processing Workshop, 2022. Disponível em: &lt;https://aclanthology.org/2022.nllp-1.28/&gt;. Acesso em: 23 maio 2026.</w:t>
      </w:r>
    </w:p>
    <w:p>
      <w:pPr>
        <w:spacing w:after="120"/>
        <w:jc w:val="both"/>
      </w:pPr>
      <w:r>
        <w:rPr>
          <w:rFonts w:ascii="Arial" w:hAnsi="Arial" w:eastAsia="Arial"/>
          <w:sz w:val="20"/>
        </w:rPr>
        <w:t>GAMMA, Erich et al. Design Patterns: Elements of Reusable Object-Oriented Software. Boston: Addison-Wesley, 1994.</w:t>
      </w:r>
    </w:p>
    <w:p>
      <w:pPr>
        <w:spacing w:after="120"/>
        <w:jc w:val="both"/>
      </w:pPr>
      <w:r>
        <w:rPr>
          <w:rFonts w:ascii="Arial" w:hAnsi="Arial" w:eastAsia="Arial"/>
          <w:sz w:val="20"/>
        </w:rPr>
        <w:t>ISO/IEC. ISO/IEC 25010:2011: Systems and software engineering - Systems and software Quality Requirements and Evaluation (SQuaRE) - System and software quality models. Geneva: International Organization for Standardization, 2011.</w:t>
      </w:r>
    </w:p>
    <w:p>
      <w:pPr>
        <w:spacing w:after="120"/>
        <w:jc w:val="both"/>
      </w:pPr>
      <w:r>
        <w:rPr>
          <w:rFonts w:ascii="Arial" w:hAnsi="Arial" w:eastAsia="Arial"/>
          <w:sz w:val="20"/>
        </w:rPr>
        <w:t>JURAFSKY, Daniel; MARTIN, James H. Speech and Language Processing. 3. ed. draft, 2024. Disponível em: &lt;https://web.stanford.edu/~jurafsky/slp3/&gt;. Acesso em: 23 maio 2026.</w:t>
      </w:r>
    </w:p>
    <w:p>
      <w:pPr>
        <w:spacing w:after="120"/>
        <w:jc w:val="both"/>
      </w:pPr>
      <w:r>
        <w:rPr>
          <w:rFonts w:ascii="Arial" w:hAnsi="Arial" w:eastAsia="Arial"/>
          <w:sz w:val="20"/>
        </w:rPr>
        <w:t>MARTIN, Robert C. Clean Architecture: A Craftsman's Guide to Software Structure and Design. Boston: Prentice Hall, 2017.</w:t>
      </w:r>
    </w:p>
    <w:p>
      <w:pPr>
        <w:spacing w:after="120"/>
        <w:jc w:val="both"/>
      </w:pPr>
      <w:r>
        <w:rPr>
          <w:rFonts w:ascii="Arial" w:hAnsi="Arial" w:eastAsia="Arial"/>
          <w:sz w:val="20"/>
        </w:rPr>
        <w:t>OLLAMA. Ollama Documentation. Disponível em: &lt;https://docs.ollama.com/&gt;. Acesso em: 23 maio 2026.</w:t>
      </w:r>
    </w:p>
    <w:p>
      <w:pPr>
        <w:spacing w:after="120"/>
        <w:jc w:val="both"/>
      </w:pPr>
      <w:r>
        <w:rPr>
          <w:rFonts w:ascii="Arial" w:hAnsi="Arial" w:eastAsia="Arial"/>
          <w:sz w:val="20"/>
        </w:rPr>
        <w:t>SILVEIRA, Raquel et al. LegalBert-pt: A Pretrained Language Model for the Brazilian Portuguese Legal Domain. In: Brazilian Conference on Intelligent Systems (BRACIS), 2023. Disponível em: &lt;https://sol.sbc.org.br/index.php/bracis/article/view/28420&gt;. Acesso em: 23 maio 2026.</w:t>
      </w:r>
    </w:p>
    <w:p>
      <w:pPr>
        <w:spacing w:after="120"/>
        <w:jc w:val="both"/>
      </w:pPr>
      <w:r>
        <w:rPr>
          <w:rFonts w:ascii="Arial" w:hAnsi="Arial" w:eastAsia="Arial"/>
          <w:sz w:val="20"/>
        </w:rPr>
        <w:t>TESSERACT OCR. Tesseract Open Source OCR Engine. Disponível em: &lt;https://github.com/tesseract-ocr/tesseract&gt;. Acesso em: 23 maio 2026.</w:t>
      </w:r>
    </w:p>
    <w:p>
      <w:pPr>
        <w:spacing w:after="120"/>
        <w:jc w:val="both"/>
      </w:pPr>
      <w:r>
        <w:rPr>
          <w:rFonts w:ascii="Arial" w:hAnsi="Arial" w:eastAsia="Arial"/>
          <w:sz w:val="20"/>
        </w:rPr>
        <w:t>W3C. Web Content Accessibility Guidelines (WCAG) 2.1. W3C Recommendation, 2018. Disponível em: &lt;https://www.w3.org/TR/WCAG21/&gt;. Acesso em: 23 maio 2026.</w:t>
      </w:r>
    </w:p>
    <w:p>
      <w:pPr>
        <w:spacing w:before="240" w:after="120"/>
        <w:jc w:val="left"/>
      </w:pPr>
      <w:r>
        <w:rPr>
          <w:rFonts w:ascii="Arial" w:hAnsi="Arial" w:eastAsia="Arial"/>
          <w:b/>
          <w:sz w:val="26"/>
        </w:rPr>
        <w:t>Apêndice A - Cabeçalho Recomendado para Arquivos Python</w:t>
      </w:r>
    </w:p>
    <w:p>
      <w:pPr>
        <w:spacing w:after="120" w:before="0" w:line="240" w:lineRule="auto"/>
        <w:jc w:val="both"/>
      </w:pPr>
      <w:r>
        <w:rPr>
          <w:rFonts w:ascii="Arial" w:hAnsi="Arial" w:eastAsia="Arial"/>
          <w:b w:val="0"/>
          <w:i w:val="0"/>
          <w:sz w:val="24"/>
        </w:rPr>
        <w:t>Os arquivos-fonte do projeto devem conter cabeçalho com identificação dos integrantes, síntese do conteúdo e histórico de alterações, conforme solicitado na atividade.</w:t>
      </w:r>
    </w:p>
    <w:tbl>
      <w:tblPr>
        <w:tblW w:type="auto" w:w="0"/>
        <w:jc w:val="center"/>
        <w:tblLook w:firstColumn="1" w:firstRow="1" w:lastColumn="0" w:lastRow="0" w:noHBand="0" w:noVBand="1" w:val="04A0"/>
      </w:tblPr>
      <w:tblGrid>
        <w:gridCol w:w="9752"/>
      </w:tblGrid>
      <w:tr>
        <w:tc>
          <w:tcPr>
            <w:tcW w:type="dxa" w:w="9752"/>
            <w:shd w:fill="F2F2F2"/>
            <w:tcBorders>
              <w:top w:sz="4" w:val="single" w:color="A6A6A6"/>
              <w:left w:sz="4" w:val="single" w:color="A6A6A6"/>
              <w:bottom w:sz="4" w:val="single" w:color="A6A6A6"/>
              <w:right w:sz="4" w:val="single" w:color="A6A6A6"/>
            </w:tcBorders>
          </w:tcPr>
          <w:p>
            <w:pPr>
              <w:spacing w:after="0"/>
            </w:pPr>
            <w:r/>
            <w:r>
              <w:rPr>
                <w:rFonts w:ascii="Courier New" w:hAnsi="Courier New" w:eastAsia="Courier New"/>
                <w:sz w:val="18"/>
              </w:rPr>
              <w:t>"""</w:t>
            </w:r>
          </w:p>
          <w:p>
            <w:pPr>
              <w:spacing w:after="0"/>
            </w:pPr>
            <w:r>
              <w:rPr>
                <w:rFonts w:ascii="Courier New" w:hAnsi="Courier New" w:eastAsia="Courier New"/>
                <w:sz w:val="18"/>
              </w:rPr>
              <w:t>Projeto: IADvogado</w:t>
            </w:r>
          </w:p>
          <w:p>
            <w:pPr>
              <w:spacing w:after="0"/>
            </w:pPr>
            <w:r>
              <w:rPr>
                <w:rFonts w:ascii="Courier New" w:hAnsi="Courier New" w:eastAsia="Courier New"/>
                <w:sz w:val="18"/>
              </w:rPr>
              <w:t>Disciplina: Inteligência Artificial - 7º Período - Ciência da Computação</w:t>
            </w:r>
          </w:p>
          <w:p>
            <w:pPr>
              <w:spacing w:after="0"/>
            </w:pPr>
            <w:r>
              <w:rPr>
                <w:rFonts w:ascii="Courier New" w:hAnsi="Courier New" w:eastAsia="Courier New"/>
                <w:sz w:val="18"/>
              </w:rPr>
              <w:t>Instituição: Universidade Presbiteriana Mackenzie</w:t>
            </w:r>
          </w:p>
          <w:p>
            <w:pPr>
              <w:spacing w:after="0"/>
            </w:pPr>
            <w:r>
              <w:rPr>
                <w:rFonts w:ascii="Courier New" w:hAnsi="Courier New" w:eastAsia="Courier New"/>
                <w:sz w:val="18"/>
              </w:rPr>
              <w:t>Professor: Prof. Dr. Ivan Carlos Alcântara de Oliveira</w:t>
            </w:r>
          </w:p>
          <w:p>
            <w:pPr>
              <w:spacing w:after="0"/>
            </w:pPr>
            <w:r>
              <w:rPr>
                <w:rFonts w:ascii="Courier New" w:hAnsi="Courier New" w:eastAsia="Courier New"/>
                <w:sz w:val="18"/>
              </w:rPr>
            </w:r>
          </w:p>
          <w:p>
            <w:pPr>
              <w:spacing w:after="0"/>
            </w:pPr>
            <w:r>
              <w:rPr>
                <w:rFonts w:ascii="Courier New" w:hAnsi="Courier New" w:eastAsia="Courier New"/>
                <w:sz w:val="18"/>
              </w:rPr>
              <w:t>Integrantes:</w:t>
            </w:r>
          </w:p>
          <w:p>
            <w:pPr>
              <w:spacing w:after="0"/>
            </w:pPr>
            <w:r>
              <w:rPr>
                <w:rFonts w:ascii="Courier New" w:hAnsi="Courier New" w:eastAsia="Courier New"/>
                <w:sz w:val="18"/>
              </w:rPr>
              <w:t>- Gustavo Fugulin Soares da Silva - RA 10418552 - [e-mail]</w:t>
            </w:r>
          </w:p>
          <w:p>
            <w:pPr>
              <w:spacing w:after="0"/>
            </w:pPr>
            <w:r>
              <w:rPr>
                <w:rFonts w:ascii="Courier New" w:hAnsi="Courier New" w:eastAsia="Courier New"/>
                <w:sz w:val="18"/>
              </w:rPr>
              <w:t>- Otto Martins Mota - RA 10418170 - [e-mail]</w:t>
            </w:r>
          </w:p>
          <w:p>
            <w:pPr>
              <w:spacing w:after="0"/>
            </w:pPr>
            <w:r>
              <w:rPr>
                <w:rFonts w:ascii="Courier New" w:hAnsi="Courier New" w:eastAsia="Courier New"/>
                <w:sz w:val="18"/>
              </w:rPr>
              <w:t>- Renan Garrido - RA 10417093 - [e-mail]</w:t>
            </w:r>
          </w:p>
          <w:p>
            <w:pPr>
              <w:spacing w:after="0"/>
            </w:pPr>
            <w:r>
              <w:rPr>
                <w:rFonts w:ascii="Courier New" w:hAnsi="Courier New" w:eastAsia="Courier New"/>
                <w:sz w:val="18"/>
              </w:rPr>
              <w:t>- Rodrigo Roveratti Guerrero - RA 10417090 - [e-mail]</w:t>
            </w:r>
          </w:p>
          <w:p>
            <w:pPr>
              <w:spacing w:after="0"/>
            </w:pPr>
            <w:r>
              <w:rPr>
                <w:rFonts w:ascii="Courier New" w:hAnsi="Courier New" w:eastAsia="Courier New"/>
                <w:sz w:val="18"/>
              </w:rPr>
            </w:r>
          </w:p>
          <w:p>
            <w:pPr>
              <w:spacing w:after="0"/>
            </w:pPr>
            <w:r>
              <w:rPr>
                <w:rFonts w:ascii="Courier New" w:hAnsi="Courier New" w:eastAsia="Courier New"/>
                <w:sz w:val="18"/>
              </w:rPr>
              <w:t>Arquivo: [nome_do_arquivo.py]</w:t>
            </w:r>
          </w:p>
          <w:p>
            <w:pPr>
              <w:spacing w:after="0"/>
            </w:pPr>
            <w:r>
              <w:rPr>
                <w:rFonts w:ascii="Courier New" w:hAnsi="Courier New" w:eastAsia="Courier New"/>
                <w:sz w:val="18"/>
              </w:rPr>
              <w:t>Síntese: [descrever brevemente a função do arquivo]</w:t>
            </w:r>
          </w:p>
          <w:p>
            <w:pPr>
              <w:spacing w:after="0"/>
            </w:pPr>
            <w:r>
              <w:rPr>
                <w:rFonts w:ascii="Courier New" w:hAnsi="Courier New" w:eastAsia="Courier New"/>
                <w:sz w:val="18"/>
              </w:rPr>
            </w:r>
          </w:p>
          <w:p>
            <w:pPr>
              <w:spacing w:after="0"/>
            </w:pPr>
            <w:r>
              <w:rPr>
                <w:rFonts w:ascii="Courier New" w:hAnsi="Courier New" w:eastAsia="Courier New"/>
                <w:sz w:val="18"/>
              </w:rPr>
              <w:t>Histórico de alterações:</w:t>
            </w:r>
          </w:p>
          <w:p>
            <w:pPr>
              <w:spacing w:after="0"/>
            </w:pPr>
            <w:r>
              <w:rPr>
                <w:rFonts w:ascii="Courier New" w:hAnsi="Courier New" w:eastAsia="Courier New"/>
                <w:sz w:val="18"/>
              </w:rPr>
              <w:t>- 23/05/2026 - Grupo IADvogado - Criação/atualização do arquivo.</w:t>
            </w:r>
          </w:p>
          <w:p>
            <w:pPr>
              <w:spacing w:after="0"/>
            </w:pPr>
            <w:r>
              <w:rPr>
                <w:rFonts w:ascii="Courier New" w:hAnsi="Courier New" w:eastAsia="Courier New"/>
                <w:sz w:val="18"/>
              </w:rPr>
              <w:t>"""</w:t>
            </w:r>
          </w:p>
        </w:tc>
      </w:tr>
    </w:tbl>
    <w:p>
      <w:pPr>
        <w:spacing w:after="40"/>
      </w:pPr>
    </w:p>
    <w:sectPr w:rsidR="00FC693F" w:rsidRPr="0006063C" w:rsidSect="00034616">
      <w:headerReference w:type="default" r:id="rId9"/>
      <w:pgSz w:w="11906" w:h="16838"/>
      <w:pgMar w:top="1440" w:right="1077" w:bottom="1440" w:left="1077"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6120000" cy="1028361"/>
          <wp:docPr id="1" name="Picture 1"/>
          <wp:cNvGraphicFramePr>
            <a:graphicFrameLocks noChangeAspect="1"/>
          </wp:cNvGraphicFramePr>
          <a:graphic>
            <a:graphicData uri="http://schemas.openxmlformats.org/drawingml/2006/picture">
              <pic:pic>
                <pic:nvPicPr>
                  <pic:cNvPr id="0" name="header_mackenzie_full.png"/>
                  <pic:cNvPicPr/>
                </pic:nvPicPr>
                <pic:blipFill>
                  <a:blip r:embed="rId3"/>
                  <a:stretch>
                    <a:fillRect/>
                  </a:stretch>
                </pic:blipFill>
                <pic:spPr>
                  <a:xfrm>
                    <a:off x="0" y="0"/>
                    <a:ext cx="6120000" cy="10283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