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项目评审会议记录</w:t>
      </w:r>
    </w:p>
    <w:p>
      <w:r>
        <w:rPr>
          <w:b/>
        </w:rPr>
        <w:t>正常段落：</w:t>
      </w:r>
      <w:r>
        <w:t xml:space="preserve">这是正文，含 </w:t>
      </w:r>
      <w:r>
        <w:rPr>
          <w:i/>
        </w:rPr>
        <w:t>斜体字</w:t>
      </w:r>
      <w:r>
        <w:rPr>
          <w:color w:val="C00000"/>
        </w:rPr>
        <w:t>与彩色字</w:t>
      </w:r>
    </w:p>
    <w:p>
      <w:r>
        <w:t>第二段带**星号**与 `反引号`（纯文本，不该被当成 markdown 解析）。</w:t>
      </w:r>
    </w:p>
    <w:p>
      <w:pPr>
        <w:pStyle w:val="Heading2"/>
      </w:pPr>
      <w:r>
        <w:t>二级标题：结论</w:t>
      </w:r>
    </w:p>
    <w:p>
      <w:pPr>
        <w:pStyle w:val="Heading3"/>
      </w:pPr>
      <w:r>
        <w:t>三级标题：细节</w:t>
      </w:r>
    </w:p>
    <w:p>
      <w:pPr>
        <w:pStyle w:val="ListNumber"/>
      </w:pPr>
      <w:r>
        <w:t>第一项任务</w:t>
      </w:r>
    </w:p>
    <w:p>
      <w:pPr>
        <w:pStyle w:val="ListNumber"/>
      </w:pPr>
      <w:r>
        <w:t>第二项任务</w:t>
      </w:r>
    </w:p>
    <w:p>
      <w:pPr>
        <w:pStyle w:val="ListNumber"/>
      </w:pPr>
      <w:r>
        <w:t>第三项任务</w:t>
      </w:r>
    </w:p>
    <w:p>
      <w:pPr>
        <w:pStyle w:val="ListBullet"/>
      </w:pPr>
      <w:r>
        <w:t>要点甲</w:t>
      </w:r>
    </w:p>
    <w:p>
      <w:pPr>
        <w:pStyle w:val="ListBullet"/>
      </w:pPr>
      <w:r>
        <w:t>要点乙</w:t>
      </w:r>
    </w:p>
    <w:p>
      <w:pPr>
        <w:numPr>
          <w:ilvl w:val="0"/>
          <w:numId w:val="4"/>
        </w:numPr>
      </w:pPr>
      <w:r>
        <w:t>直接写numPr的段落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压测报告</w:t>
            </w:r>
          </w:p>
        </w:tc>
        <w:tc>
          <w:tcPr>
            <w:tcW w:type="dxa" w:w="2880"/>
          </w:tcPr>
          <w:p>
            <w:r>
              <w:t>下周五</w:t>
            </w:r>
          </w:p>
        </w:tc>
      </w:tr>
      <w:tr>
        <w:tc>
          <w:tcPr>
            <w:tcW w:type="dxa" w:w="5760"/>
            <w:gridSpan w:val="2"/>
          </w:tcPr>
          <w:p>
            <w:r>
              <w:t>合并两格的说明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oracle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">
        <w:r>
          <w:t>评审报告外链</w:t>
        </w:r>
      </w:hyperlink>
    </w:p>
    <w:p>
      <w:r>
        <w:br w:type="page"/>
      </w:r>
    </w:p>
    <w:p>
      <w:r>
        <w:t>带软回车的段落。第一行</w:t>
      </w:r>
      <w:r>
        <w:t>第二行</w:t>
        <w:br/>
      </w:r>
    </w:p>
    <w:p>
      <w:pPr>
        <w:pStyle w:val="Quote"/>
      </w:pPr>
      <w:r>
        <w:t>引用样式的段落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  <w:p>
      <w:r>
        <w:pict>
          <v:shape type="#_x0000_t202">
            <v:textbox>
              <w:txbxContent>
                <w:p>
                  <w:r>
                    <w:t>文本框里的字</w:t>
                  </w:r>
                </w:p>
              </w:txbxContent>
            </v:textbox>
          </v:shape>
        </w:pict>
      </w:r>
    </w:p>
    <w:p>
      <w:r>
        <w:fldChar w:fldCharType="begin"/>
      </w:r>
      <w:r>
        <w:instrText xml:space="preserve"> PAGE </w:instrText>
      </w:r>
      <w:r>
        <w:fldChar w:fldCharType="separate"/>
      </w:r>
      <w:r>
        <w:t>域结果三三七</w:t>
      </w:r>
      <w:r>
        <w:fldChar w:fldCharType="end"/>
      </w:r>
    </w:p>
    <w:p>
      <w:fldSimple w:instr=" NUMPAGES ">
        <w:r>
          <w:t>单域结果九〇九</w:t>
        </w:r>
      </w:fldSimple>
    </w:p>
    <w:p>
      <w:r>
        <w:t>公式：</w:t>
      </w:r>
      <m:oMath>
        <m:r>
          <m:t>伽马除以贝塔</m:t>
        </m:r>
      </m:oMath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第 1 页（不该出现在正文里）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页眉：公司内部资料（不该出现在正文里）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com/report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