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400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组会汇报讲解稿（10 页）</w:t>
      </w:r>
    </w:p>
    <w:p>
      <w:pPr>
        <w:spacing w:after="160" w:before="0" w:line="32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日期：2026-09-10 ｜ 配套：组会汇报_DFT阶段_臭氧MNB-UV_2026-09-10.pptx ｜ 预计时长 12–14 分钟</w:t>
      </w:r>
    </w:p>
    <w:p>
      <w:pPr>
        <w:spacing w:after="80" w:before="80" w:line="32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说明：每页给出【这页在讲什么】一句话 + 【讲解词】（可照着念）+【可能被追问】备用回答。讲解词里的数据都来自项目已登记记录，可放心引用。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1 页 · 封面（开场）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：自我介绍与汇报主题，30 秒。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各位老师、各位同学，我今天汇报的是我们组"臭氧微纳米气泡+紫外协同处理养殖水体"课题里的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理论计算部分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——氨氮去除分子机制的 DFT 模拟阶段汇报。整个汇报共 10 页：先讲研究背景，再讲计算体系与方法可靠性，然后按四阶段顺序汇报基线成果与②主攻进展，最后是③④安排、实验对接和后续计划。所有内容只用项目已登记的计算证据，不含未登记的实验结果。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2 页 · 研究背景与总体路线：为什么做分子模拟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：用一页说清"为什么值得做、我承担什么角色、项目走到哪一步"（页面下方就是四阶段计划条）。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先说背景。养殖水体里氨氮超标，对鱼有毒性，也是水产养殖水质管理的核心指标之一。工艺上我们想用"臭氧微纳米气泡+紫外"联用的方式把氨氮去掉，但一个很自然的问题是：它为什么有效？臭氧和氨氮到底是怎么反应的？这个问题靠实验只能看到"去掉了多少"，看不到"分子层面发生了什么"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所以我做的事，简单说就是——在电脑里做一个"分子级的实验"：用量子化学计算（DFT，密度泛函理论），把臭氧、紫外产生活性氧、再去氧化氨氮的第一步反应看清楚，给实验指路、给工艺优化提供分子层面的依据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四阶段计划我单独放在下一页逐条展开——每个阶段要完成什么任务、为什么需要这个阶段。这里先记住一句：项目目前处于第二阶段早期，今天汇报的就是第二阶段的进展。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3 页 · 计算体系与可靠性基础：先把"秤"校准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：说明用什么软件、什么方法算的，为什么结果可信。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打比方说，要称东西先把秤校准。这一页讲的就是我们怎么把"计算这杆秤"校准的。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用什么算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：化学计算全部用国际开源量子化学软件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PySCF 2.14.0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完成——这是量子化学领域的主流开源程序，算得对不对由开源社区和大量已发表论文背书；交换关联泛函的积分用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libxc 库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，水相溶剂化用 PySCF 内置的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SMD 模型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（Minnesota 溶剂库），也都是成熟的开源实现。方法上用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wB97X-D 泛函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，其中的色散校正按原始文献参数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独立实现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（PySCF 现成条目不含色散项，我们做过数值验证）；基组 def2-TZVP，积分网格 L8。另外，我们的计算系统里还部署了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Gaussian 16W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（商业"金标准"软件）作为今后的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交叉验证储备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——用于对关键结果做对照；要说明的是，本项目已登记的计算均由 PySCF 完成。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怎么保证可信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：三条措施。第一，SCF 收敛标准卡得很严（能量 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−12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、密度 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−9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）；第二，每个计算点的解析梯度全部完整落盘保存，随时可以回查、复核；第三，驻点验收有硬门限——梯度 max|g| 必须小于 1×10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−5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Eh/Bohr，而且是未经投影的原始值。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校准的结果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就体现在下一页四阶段①的数据表里：水、臭氧、氧气三种分子，气相和水相（SMD 模拟水环境）全部算出了稳定的基态结构，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虚频都是 0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，说明结构是真极小值。这些能量就是以后算反应能的"零点参考"。其中有个星号要说明：H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2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O 水相的梯度 12.8 微埃/玻尔，略高于驻点门限，所以单体统一按 0 虚频的频率结果登记验收，这是如实的处理。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底部一句：氨气相单体也完成了全套检查，它和臭氧单体的能量之和 −281.998122 Eh，就是后面研究接触构型的"起始秤读数"。另外文献方面已入库 48 篇、对标论文 S13 已全文解析——但我们的方法是自己的对照方法，没有宣称复现它的数值。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4 页 · 四阶段计划（1/3）：① 臭氧水合基线——单体基线数据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：第一阶段做完了什么、拿到了哪些基准数据（配右表）。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第一阶段，臭氧水合基线——已经建立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。任务是把"尺子"先造好：固定计算方法和验收标准，把水、臭氧、氧气这些基础分子在气相和模拟水相里的结构、能量、频率全部算准。右表就是成果：H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2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O、O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3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、O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2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三种分子、气相与 SMD 水相共 6 套单体基线计算，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全部 0 虚频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——0 虚频代表结构稳定，受扰动会回到原位。这些能量就是后面所有反应能的参照零点，尺子造准了，后面的数才可信。要如实说明的一点：H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2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O 水相的梯度略高于门限，单体统一按频率结果登记验收；第一阶段的水相驻点、热化学还有未验收项。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5 页 · 四阶段计划（2/3）：② 目标物反应模型——当前主攻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：当前主攻方向的任务、目的与最新进展。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第二阶段，目标物反应模型——这是当前阶段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它的任务是研究目标污染物氨氮和臭氧、活性氧之间能形成什么样的复合物和中间体；具体到当前，就是让一个氨氮分子和一个臭氧分子找到稳定的接触方式。说白了，就是搞清楚反应的"起点"：这两个分子怎么结合、结合得多强。目前我们已经拿到两个驻点候选，正在做稳定性核查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目前进展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：已完成 NH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3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/O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bscript"/>
        </w:rPr>
        <w:t xml:space="preserve">3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单体验收（JOB-026）、C1 取向扫描（JOB-031）与两轮全自由度优化（JOB-048/050/054）；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已获 2 个驻点候选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——JOB-051（8.203×10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）与 JOB-057（6.847×10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），均过梯度门限并独立复核；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仍在攻坚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：稳定性检验还没通过——详见下一页性质核查。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6 页 · NH</w:t>
      </w:r>
      <w:r>
        <w:rPr>
          <w:rFonts w:ascii="黑体" w:cs="黑体" w:eastAsia="黑体" w:hAnsi="黑体"/>
          <w:b/>
          <w:bCs/>
          <w:color w:val="002060"/>
          <w:sz w:val="28"/>
          <w:szCs w:val="28"/>
          <w:vertAlign w:val="subscript"/>
        </w:rPr>
        <w:t xml:space="preserve">3</w:t>
      </w: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···O</w:t>
      </w:r>
      <w:r>
        <w:rPr>
          <w:rFonts w:ascii="黑体" w:cs="黑体" w:eastAsia="黑体" w:hAnsi="黑体"/>
          <w:b/>
          <w:bCs/>
          <w:color w:val="002060"/>
          <w:sz w:val="28"/>
          <w:szCs w:val="28"/>
          <w:vertAlign w:val="subscript"/>
        </w:rPr>
        <w:t xml:space="preserve">3</w:t>
      </w: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 接触构型：两个分子"合不合得来"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：汇报主线进展——怎么在电脑里找氨氮和臭氧的结合方式，找到了两个候选。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这一页开始讲主线。核心问题很朴素：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一个氨氮分子和一个臭氧分子，靠近之后能不能稳定地待在一起？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这是整个氧化反应的第一步。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这张图怎么读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：左面板横轴是两个分子的平均接触距离（2.6–4.2 埃），纵轴是非 CP 相互作用能（千卡/摩尔）——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从右往左看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，距离越近能量越高：4.2 埃处只有 +0.45，到 2.6 埃已升到 +11，全程为正；右面板是这条扫描线上的能量变化率（梯度），同样全程为负。两条曲线合起来说明：这个固定取向下两分子是互相排斥的。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所以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不能偷懒固定姿势，必须让分子自由转动去自己找最舒服的位置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——这就是全自由度优化。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全自由度优化确实找到了一个比两个分离分子能量低约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2.26 kcal/mol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的接触构型——说明存在互相吸引的姿势。但这里有三个限定要说清楚：这个数没有做基组重叠误差（CP）校正、包含片段变形，所以它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不是结合自由能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，只是说明"有吸引力存在"。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之后就是漫长的收敛工作。JOB-051 首次得到了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梯度过门限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的几何（8.203×10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，小于 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−5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的门限），并且用独立的新对象复核通过——这是我们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登记的第一个驻点候选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。JOB-057 又从另一个方向出发，只用了 5 步优化就得到第二个候选（6.847×10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），能量还略低一些。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右上角红字是本页的结论：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两个候选，零个已验收的稳定结构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。"驻点候选"只是说它在能量和梯度意义上过了门限、经过了独立复核；它是不是真正稳定的复合物，还要看下一页的"体检"。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7 页 · 性质核查：给候选结构做"抖一抖"体检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：两个候选都没通过稳定性体检，所以还不能算数——以及我们怎么反复确认这个判断。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找到了候选，下一步要问：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它们真的站得稳吗？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打个比方，真正站稳的结构，你轻轻推它一下，它会晃回去；站不稳的结构，一推就顺着某个方向滑走。量子化学里这个"体检"就是算振动的曲率——出现负频率（负模），就说明有个方向是"下坡"的，结构会滑走，那就不是极小值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结果是这样的：</w:t>
      </w:r>
    </w:p>
    <w:p>
      <w:pPr>
        <w:spacing w:after="60" w:before="60" w:line="400"/>
        <w:ind w:left="36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052 批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：对第一个候选做电子稳定性检查，通过；但 Hessian（可以理解为"刚性矩阵"）预测出一个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−72.83 cm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  <w:vertAlign w:val="superscript"/>
        </w:rPr>
        <w:t xml:space="preserve">−1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的负模——有个方向站不稳。</w:t>
      </w:r>
    </w:p>
    <w:p>
      <w:pPr>
        <w:spacing w:after="60" w:before="60" w:line="400"/>
        <w:ind w:left="36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053 批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：我们不放心这个矩阵，沿着这个"下坡方向"用两个不同步长重新做差分验证，能量和梯度全部为负——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负曲率这个符号是真的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，不是数值误差。但它的量和矩阵预测差了约 2.8 倍，这个差异是历史遗留问题，还没解决，我们如实登记。</w:t>
      </w:r>
    </w:p>
    <w:p>
      <w:pPr>
        <w:spacing w:after="60" w:before="60" w:line="400"/>
        <w:ind w:left="36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058 批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：对第二个候选，用 42 个位移做了完整的有限差分 Hessian，同样预测出一个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−47.27 cm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  <w:vertAlign w:val="superscript"/>
        </w:rPr>
        <w:t xml:space="preserve">−1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的负模。</w:t>
      </w:r>
    </w:p>
    <w:p>
      <w:pPr>
        <w:spacing w:after="60" w:before="60" w:line="400"/>
        <w:ind w:left="36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059 批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：再用双步长独立核查，五条计算路线全部为负、互相差别不超过 0.76%——第二个候选的负曲率也获得了独立确认。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这张图怎么读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：横轴是沿固定方向的位移 t（玻尔），蓝色实线是相对能量，橙色虚线是方向导数 a(t)=g·q。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看点是橙虚线的正负号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：它在 0.045–0.050 玻尔之间由负转正（插值零点约 0.0484），说明这条直线上确实有个"谷底"；但最低采样点 t=0.050 处横向梯度还很大——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直线上的低点不等于全自由度极小值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所以本页的登记结论（红字）：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两个候选的电子稳定性都通过，但振动曲率都没通过，都不登记为极小值；目前没有过渡态、没有 IRC、没有能垒。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这不是坏消息——它说明我们的验收标准是严格执行的，结论是可靠的。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8 页 · 四阶段计划（3/3）：③ 反应路径与能垒 · ④ UV 激发态·气液界面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：③④两个后续阶段的任务与启动条件。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第三阶段，反应路径与能垒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。它的任务是对优先的反应路径做过渡态、频率和 IRC 验证，把反应能和能垒算出来。为什么要做？因为能垒直接回答"这个反应容易不容易发生、哪一步最慢"——这正好对应工艺上最关心的臭氧剂量、紫外功率和处理时间怎么选。这一阶段还没开始，要等第二阶段形成可用结论后选首条优先路径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第四阶段，紫外激发态和气液界面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它的任务是研究紫外把分子激发后发生什么（TD-DFT/光化学计算），以及微纳米气泡的气液界面对臭氧富集和传质的影响。为什么要做？它对应两个工艺问题："紫外为什么能增强效果""气泡界面为什么提高利用率"。这一阶段要结合实验条件论证后再立项，不用基态小分子的结果硬套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9 页 · 实验准备的真实状态：军师画好了图，主力还没出征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：如实说明实验侧有什么、缺什么，以及建议的第一轮实验方案。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计算是"军师"，实验是"主力"。这一页如实汇报两边对接的状态。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已经有的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（都是计算侧整理登记的）：目标污染物方向确定为养殖水体氨氮；一份需要向实验端确认的参数清单；还有建议的对照组和检测指标框架。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还没有的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也要说清楚：项目记录里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没有正式养殖实验的执行数据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；水体成分、pH、温度、氨氮浓度、紫外波长和功率、臭氧剂量、微纳米气泡条件、产物检测——这些关键条件都还没有确认。所以我们汇报的统一口径是红字这句话：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"实验方案框架已提出，具体条件待确认，正式实验尚未登记。"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不夸大、不提前。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右边是我们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建议的第一轮摸底方案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六组对照——空白、单独臭氧、单独紫外、臭氧+紫外、臭氧微纳米气泡、臭氧微纳米气泡+紫外——把三个因素的单独作用和联合作用拆开看，这样才能回答"微纳米气泡到底有没有加分"。必测指标：氨氮、亚硝酸盐、硝酸盐、pH、温度、溶解臭氧，做时间序列；有条件的话加 EPR 或过氧化物做活性氧佐证。第一步先做合成水或现成养殖水样的可控验证，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不安排活鱼和病毒试验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第 10 页 · 后续计划：两条腿走路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这页在讲什么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：计算和实验各自的下一步，以及最后收尾的三句话。</w:t>
      </w:r>
    </w:p>
    <w:p>
      <w:pPr>
        <w:spacing w:after="80" w:before="20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讲解词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后续安排是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两条腿走路，谁也不等谁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计算线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四步：第一，按 059 批的审阅意见，把 0.045–0.050 玻尔的变号区间用受限松弛继续细化；第二，核查两个候选的"滑走方向"是不是同一个、是不是在同一个势盆里；第三，等接触构型有了可用结论，选一条优先反应路径，正式做过渡态、频率和 IRC 验证，拿到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能垒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——就是回答"这个反应容易不容易发生"；第四，水相环境、紫外激发态、气泡界面这些更接近真实的模型，要结合实验条件论证后再立项，不盲目铺开。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实验线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也是四步：先把关键条件收集齐；条件一定就开始六组对照摸底——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不用等计算全部算完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；然后建立氨氮去除和亚硝酸盐、硝酸盐产物的完整时间序列；最后两边对照讨论，互相约束边界。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中间红字是"什么时候才能说机制被实验支持"的硬标准，三条必须同时满足：计算给出可复核的关键反应步骤、实验拿到去除和产物的完整时间序列、而且有完整的对照（臭氧、紫外、微纳米气泡、活性氧都拆开）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最后用三句话收尾：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1.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平台和基线已就绪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，氨氮+臭氧推进到"驻点候选性质核查"，还没有已验收的极小值和能垒；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2.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负曲率的判断是可靠的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——独立差分支持，但和解析矩阵的量级差异还没解决，所以结论保持受限的气相模型结论；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3.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实验可以先行摸底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，正式养殖实验尚未登记，汇报里不写"已完成"。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我的汇报就到这里，请大家批评指正。</w:t>
      </w:r>
    </w:p>
    <w:p>
      <w:pPr>
        <w:pStyle w:val="Heading1"/>
        <w:spacing w:after="160" w:before="360" w:line="360"/>
      </w:pPr>
      <w:r>
        <w:rPr>
          <w:rFonts w:ascii="黑体" w:cs="黑体" w:eastAsia="黑体" w:hAnsi="黑体"/>
          <w:b/>
          <w:bCs/>
          <w:color w:val="002060"/>
          <w:sz w:val="28"/>
          <w:szCs w:val="28"/>
        </w:rPr>
        <w:t xml:space="preserve">附：可能被追问的问题（备用）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Q1：为什么两个候选都不算数，还说这是进展？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答：因为"找极小值"本身就包括排除不稳定的候选。我们用两种独立方法（解析矩阵+有限差分）交叉确认了负曲率是真的，避免了把假极小值带进后续反应能计算——这比匆忙宣布"找到稳定复合物"更有价值。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Q2：−72.83 和 −47.27 cm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  <w:vertAlign w:val="superscript"/>
        </w:rPr>
        <w:t xml:space="preserve">−1</w:t>
      </w: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 很小，重要吗？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答：数值不大但符号是关键——只要有一个负曲率方向，结构就不是极小值。我们关心的是"体检过没过"，不是频率大小。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Q3：为什么用气相模型，不用水？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答：气相是第一步的基准，先把"两个分子怎么结合"这件事本身搞清楚，排除溶剂的干扰；水相 SMD 和显式水扩展在计划里，要结合实验条件安排，避免一次引入太多变量。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Q4：计算结果什么时候能指导实验？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答：现在就能指导实验设计（对照组怎么拆、测什么指标）；反应路径和能垒预计在接触构型验收后启动，到时候可以回答"氨氮氧化主要走哪条路、哪步最慢"。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Q5：D2 色散为什么要自己实现？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答：PySCF 的 wB97XD 条目只含泛函的 DFT 部分，不含经验 −D2 色散项（这一点我们做过数值验证）；不补上色散，分子间弱相互作用会算错，所以按原始文献参数独立实现并核对了泛函参数。</w:t>
      </w:r>
    </w:p>
    <w:p>
      <w:pPr>
        <w:spacing w:after="60" w:before="220" w:line="400"/>
      </w:pPr>
      <w:r>
        <w:rPr>
          <w:rFonts w:ascii="微软雅黑" w:cs="微软雅黑" w:eastAsia="微软雅黑" w:hAnsi="微软雅黑"/>
          <w:b/>
          <w:bCs/>
          <w:color w:val="002060"/>
          <w:sz w:val="24"/>
          <w:szCs w:val="24"/>
        </w:rPr>
        <w:t xml:space="preserve">Q6：为什么用 PySCF？既然 Gaussian 16W 能用，为什么不用它算？</w:t>
      </w:r>
    </w:p>
    <w:p>
      <w:pPr>
        <w:spacing w:after="120" w:before="120" w:line="40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答：三层原因。①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可编程性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：PySCF 是 Python 库，自研 D2 色散、逐求值梯度落盘、任意方向双步长差分这些可靠性机制只能做在可编程引擎里，Gaussian 的输入文件驱动模式做不了；②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口径统一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：全部已登记结果都是 PySCF wB97X-D+D2/def2-TZVP/L8 口径，不同程序的网格与收敛路径不同，能量存在 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–10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−8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Eh 量级的程序间差异，而项目正在追 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−5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–10</w:t>
      </w:r>
      <w:r>
        <w:rPr>
          <w:rFonts w:ascii="微软雅黑" w:cs="微软雅黑" w:eastAsia="微软雅黑" w:hAnsi="微软雅黑"/>
          <w:color w:val="000000"/>
          <w:sz w:val="24"/>
          <w:szCs w:val="24"/>
          <w:vertAlign w:val="superscript"/>
        </w:rPr>
        <w:t xml:space="preserve">−6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 的梯度门限，中途换引擎等于全部基线重新验收、历史结果不可比；③ </w:t>
      </w: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风险控制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：解析 vs 差分 Hessian 的量级差异尚未解决，此刻引入第二个引擎的程序间噪声只会混淆诊断。Gaussian 16W（已部署、可正常使用）的正确定位是关键节点的交叉验证参照——拿到已验收极小值或能垒后做单点对照，证明结论不依赖特定程序。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2026-09-12T00:15:39.663Z</dcterms:created>
  <dcterms:modified xsi:type="dcterms:W3CDTF">2026-09-12T00:15:39.663Z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