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黑体" w:cs="黑体" w:eastAsia="黑体" w:hAnsi="黑体"/>
          <w:b/>
          <w:bCs/>
          <w:sz w:val="44"/>
          <w:szCs w:val="44"/>
        </w:rPr>
        <w:t xml:space="preserve">会议纪要</w:t>
      </w:r>
    </w:p>
    <w:p>
      <w:pPr>
        <w:spacing w:after="260"/>
        <w:jc w:val="center"/>
      </w:pPr>
      <w:r>
        <w:rPr>
          <w:rFonts w:ascii="黑体" w:cs="黑体" w:eastAsia="黑体" w:hAnsi="黑体"/>
          <w:b/>
          <w:bCs/>
          <w:sz w:val="30"/>
          <w:szCs w:val="30"/>
        </w:rPr>
        <w:t xml:space="preserve">安徽蒙城黑臭水体治理项目技术交流会议</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会议时间</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2026 年 10 月 15 日（星期四）上午，会期约 58 分钟</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会议地点</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天津大学北洋园校区三问园</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会议性质</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技术交流与项目汇报（来访调研）</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主持人</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王天志</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参会人员</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来访方：陈晓青（蒙城县交通局局长）、李伟（蒙城县水利局局长），及随行相关科室负责人；
学院方：展思辉（天津大学环境科学与工程学院院长）；
课题组：王天志（天津大学环境科学与工程学院）</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记录来源</w:t>
            </w:r>
          </w:p>
        </w:tc>
        <w:tc>
          <w:tcPr>
            <w:tcW w:type="dxa" w:w="6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会议现场录音（58 分 10 秒）经自动语音转写后人工校订整理</w:t>
            </w:r>
          </w:p>
        </w:tc>
      </w:tr>
    </w:tbl>
    <w:p>
      <w:pPr>
        <w:pStyle w:val="Heading1"/>
        <w:spacing w:after="140" w:before="260"/>
      </w:pPr>
      <w:r>
        <w:rPr>
          <w:rFonts w:ascii="黑体" w:cs="黑体" w:eastAsia="黑体" w:hAnsi="黑体"/>
          <w:b/>
          <w:bCs/>
          <w:sz w:val="28"/>
          <w:szCs w:val="28"/>
        </w:rPr>
        <w:t xml:space="preserve">一、会议背景</w:t>
      </w:r>
    </w:p>
    <w:p>
      <w:pPr>
        <w:spacing w:after="160" w:before="0" w:line="320"/>
        <w:ind w:firstLine="480"/>
      </w:pPr>
      <w:r>
        <w:rPr>
          <w:rFonts w:ascii="宋体" w:cs="宋体" w:eastAsia="宋体" w:hAnsi="宋体"/>
          <w:sz w:val="24"/>
          <w:szCs w:val="24"/>
        </w:rPr>
        <w:t xml:space="preserve">2026 年 10 月 15 日上午，安徽省蒙城县水利局局长李伟、交通局局长陈晓青一行到访天津大学环境科学与工程学院，就蒙城县黑臭水体治理项目与课题组开展技术交流。天津大学环境科学与工程学院院长展思辉代表学院欢迎来访一行。会议由王天志主持并作汇报，围绕微纳米气泡技术的原理与研发进展、氢气纳米气泡水技术、团队建设与产业化进展、以及该技术在黑臭水体治理中的应用前景等议题进行了系统交流。</w:t>
      </w:r>
    </w:p>
    <w:p>
      <w:pPr>
        <w:pStyle w:val="Heading1"/>
        <w:spacing w:after="140" w:before="260"/>
      </w:pPr>
      <w:r>
        <w:rPr>
          <w:rFonts w:ascii="黑体" w:cs="黑体" w:eastAsia="黑体" w:hAnsi="黑体"/>
          <w:b/>
          <w:bCs/>
          <w:sz w:val="28"/>
          <w:szCs w:val="28"/>
        </w:rPr>
        <w:t xml:space="preserve">二、会议主要内容</w:t>
      </w:r>
    </w:p>
    <w:p>
      <w:pPr>
        <w:pStyle w:val="Heading2"/>
        <w:spacing w:after="110" w:before="200"/>
      </w:pPr>
      <w:r>
        <w:rPr>
          <w:rFonts w:ascii="黑体" w:cs="黑体" w:eastAsia="黑体" w:hAnsi="黑体"/>
          <w:b/>
          <w:bCs/>
          <w:sz w:val="24"/>
          <w:szCs w:val="24"/>
        </w:rPr>
        <w:t xml:space="preserve">（一）微纳米气泡技术原理</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以现场摇晃水瓶的演示开场，说明气泡的产生与上升机理。气泡在水中上升主要受浮力与表面张力两个力支配：当气泡直径在 50 微米左右（约为头发丝尺度，托拉斯尺度约 550 微米）时两力趋于平衡，气泡在水体中相对稳定；尺度更小则受分子运动等因素干扰，上升更慢。</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含微米与纳米两种尺度气泡的水称为“微纳米气泡水”，并强调“微纳米”指的是尺度而非数量。气泡表面带负电、富含羟基离子，气泡溃破瞬间释放的能量作用于表面离子，产生羟基自由基等强氧化性物种，因而气泡水具有氧化性、传质效率高、作用稳定时间长等特点，可用于养殖、水处理等多个领域。</w:t>
      </w:r>
    </w:p>
    <w:p>
      <w:pPr>
        <w:pStyle w:val="Heading2"/>
        <w:spacing w:after="110" w:before="200"/>
      </w:pPr>
      <w:r>
        <w:rPr>
          <w:rFonts w:ascii="黑体" w:cs="黑体" w:eastAsia="黑体" w:hAnsi="黑体"/>
          <w:b/>
          <w:bCs/>
          <w:sz w:val="24"/>
          <w:szCs w:val="24"/>
        </w:rPr>
        <w:t xml:space="preserve">（二）行业瓶颈与攻关路径</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指出微纳米气泡技术长期难以推广存在两个瓶颈：一是运行能耗高，二是工程尺度上气泡分布不稳定。其根源在于该技术此前长期停留在实验室可控水段，未真正走向工程。课题组系统梳理了主流制气方法（加压溶解释气、引气、光催化、超声空化、电解、曝气等），确定以加压溶解释气为工程攻关主线，并自主研发了将加压与射流切割合一的文丘里结构核心部件，实现该部件国产化，部分指标优于日本同类产品；经超声处理的自制水样每毫升可达 2～3 亿个气泡。</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团队在气泡计算与表征方面形成三项关键技术：一是建立单个气泡（微米与纳米尺度）的计算方法，重构气泡界面与相互作用关系；二是打通从微观模拟到宏观设计的路径，开发模具并形成可控产品；三是面向不同气源（氢气、氧气等）设计功能性气泡。王天志强调，气源与气泡尺度的组合决定气泡性质，“必须锁定是什么气、什么气泡，否则就是薛定谔的猫”。</w:t>
      </w:r>
    </w:p>
    <w:p>
      <w:pPr>
        <w:pStyle w:val="Heading2"/>
        <w:spacing w:after="110" w:before="200"/>
      </w:pPr>
      <w:r>
        <w:rPr>
          <w:rFonts w:ascii="黑体" w:cs="黑体" w:eastAsia="黑体" w:hAnsi="黑体"/>
          <w:b/>
          <w:bCs/>
          <w:sz w:val="24"/>
          <w:szCs w:val="24"/>
        </w:rPr>
        <w:t xml:space="preserve">（三）评价体系与能耗攻关</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鉴于该技术在工程与工业领域尚无成熟评价方法，课题组自主搭建了测试平台与评价体系，并开发高速摄像、光闪烁等观测手段，将肉眼不可见的气泡过程量化，用于指导结构优化。</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在能耗方面，针对传统曝气设备气体循环量大、材料依赖成本高的问题，从材料与结构两方面入手开发超低阻曝气技术，实现曝气材料 100% 国产化、曝气能耗降低 80%。课题组目前已建成生产线，年产能约 1000 台。</w:t>
      </w:r>
    </w:p>
    <w:p>
      <w:pPr>
        <w:pStyle w:val="Heading2"/>
        <w:spacing w:after="110" w:before="200"/>
      </w:pPr>
      <w:r>
        <w:rPr>
          <w:rFonts w:ascii="黑体" w:cs="黑体" w:eastAsia="黑体" w:hAnsi="黑体"/>
          <w:b/>
          <w:bCs/>
          <w:sz w:val="24"/>
          <w:szCs w:val="24"/>
        </w:rPr>
        <w:t xml:space="preserve">（四）氢气纳米气泡水技术</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2007 年《自然·医学》发表开创性论文，证明氢气可通过选择性清除细胞毒性自由基发挥治疗作用。人体内 200 多种疾病的发生与进展均与自由基相关；常规抗氧化剂（如维生素 C）会同时清除有益自由基，而氢气凭借极小的分子结构具有强渗透与扩散能力，可实现选择性抗氧化，且与氧反应后的产物为水、无残留，生物安全性高。氢气在食品饮料中的应用已有法规依据：我国自 2014 年起允许在食品添加剂中使用；欧盟将其认定为新食品（在规定使用条件下无安全忧）；美国 FDA 允许在饮用水与饮料中添加一定浓度的氢气。</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团队实验进展：一是细胞模型实验中，损伤使细胞活力下降约 30%，补充氢气后活力提高约 25%；二是微塑料小鼠体内实验中，长期摄入微饲料导致肝脏、脾脏组织结构异常，氢气可抑制该现象（王天志同时强调，微塑料中毒不可“治愈”，氢气仅能缓解身体不适）；三是斑马鱼病毒感染实验中死亡率最高达 80%，氢气水处理后死亡率明显降低，且能抑制病毒复制与病毒因子产生。</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氢气纳米气泡水的关键技术在于封装与缓释，使氢气在常温、开口条件下仍能保持较长保鲜期。实测显示：该产品开封 2 小时后仍保留约 80%；27℃ 升至 30℃ 以上时降至约 0.7 ppm；50℃ 时仍有 0.36；40℃ 加热 10 分钟后仍保持在 0.5 ppm 以上。相比之下，传统加压一次性充气的氢水开封后基本即刻失效，2～3 小时内即降至 0.5 ppm 以下。</w:t>
      </w:r>
    </w:p>
    <w:p>
      <w:pPr>
        <w:pStyle w:val="Heading2"/>
        <w:spacing w:after="110" w:before="200"/>
      </w:pPr>
      <w:r>
        <w:rPr>
          <w:rFonts w:ascii="黑体" w:cs="黑体" w:eastAsia="黑体" w:hAnsi="黑体"/>
          <w:b/>
          <w:bCs/>
          <w:sz w:val="24"/>
          <w:szCs w:val="24"/>
        </w:rPr>
        <w:t xml:space="preserve">（五）团队建设与产业化进展</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课题组现有 21 名研究生（5 名博士、16 名硕士），发表论文 70 余篇；知识产权覆盖结构、气源调控、利用调控、产品性能测试全链条，拥有软件著作权 4 项、注册商标 2 项。</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公司于 2024 年 9 月 26 日成立，2025 年 1 月实现首单业务。目前已完成海棠基金种子轮融资：企业成立至种子轮用时 3 个月，实验室门到天津大学知识产权作价入股用时 2 个月，累计融资 1000 余万元，由第三方认证机构评估估值约 7000 万元。天津市级、区级及主流媒体多次报道，学校、区级及有关部委、县级领导均曾到访考察。王天志本人现任天津市津南区政协委员。</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关于市场拓展，王天志表示下一步计划向西北地区推广，因当地冷水泥（水产养殖）市场规模较大、物价较高；南昌、杭州等地亦在推进该技术。同时正结合各类养殖场景需求，对产品进行迭代升级。</w:t>
      </w:r>
    </w:p>
    <w:p>
      <w:pPr>
        <w:pStyle w:val="Heading2"/>
        <w:spacing w:after="110" w:before="200"/>
      </w:pPr>
      <w:r>
        <w:rPr>
          <w:rFonts w:ascii="黑体" w:cs="黑体" w:eastAsia="黑体" w:hAnsi="黑体"/>
          <w:b/>
          <w:bCs/>
          <w:sz w:val="24"/>
          <w:szCs w:val="24"/>
        </w:rPr>
        <w:t xml:space="preserve">（六）宣传片观摩</w:t>
      </w:r>
    </w:p>
    <w:p>
      <w:pPr>
        <w:spacing w:after="120" w:line="320"/>
      </w:pPr>
      <w:r>
        <w:rPr>
          <w:rFonts w:ascii="黑体" w:cs="黑体" w:eastAsia="黑体" w:hAnsi="黑体"/>
          <w:b/>
          <w:bCs/>
          <w:sz w:val="24"/>
          <w:szCs w:val="24"/>
        </w:rPr>
        <w:t xml:space="preserve">【视频旁白】</w:t>
      </w:r>
      <w:r>
        <w:rPr>
          <w:rFonts w:ascii="宋体" w:cs="宋体" w:eastAsia="宋体" w:hAnsi="宋体"/>
          <w:sz w:val="24"/>
          <w:szCs w:val="24"/>
        </w:rPr>
        <w:t xml:space="preserve">会议中播放了两段宣传片。其一为课题组及产业化成果宣传片，内容包括养殖基地合作成效、养殖大棚作为天津大学试验基地、设备运行数据采集（精度达毫秒级）与短信及页面弹窗告警、新一代微纳米饲养机（单机可覆盖 30 方养殖池）、院士工作站与校企合作等。</w:t>
      </w:r>
    </w:p>
    <w:p>
      <w:pPr>
        <w:spacing w:after="120" w:line="320"/>
      </w:pPr>
      <w:r>
        <w:rPr>
          <w:rFonts w:ascii="黑体" w:cs="黑体" w:eastAsia="黑体" w:hAnsi="黑体"/>
          <w:b/>
          <w:bCs/>
          <w:sz w:val="24"/>
          <w:szCs w:val="24"/>
        </w:rPr>
        <w:t xml:space="preserve">【视频旁白】</w:t>
      </w:r>
      <w:r>
        <w:rPr>
          <w:rFonts w:ascii="宋体" w:cs="宋体" w:eastAsia="宋体" w:hAnsi="宋体"/>
          <w:sz w:val="24"/>
          <w:szCs w:val="24"/>
        </w:rPr>
        <w:t xml:space="preserve">其二为蒙城建设专题片，展示微纳米气泡技术在水体治理中的实际应用：从设备调试、管线布设、铺气单元定位到气泡云在水下扩散，每一步均落在真实河道中；并结合生态浮岛、植物根系与微生物共同参与净化，形成从设备运行到生态构建的系统修复路径，实现治理从单一设备向系统修复延伸。</w:t>
      </w:r>
    </w:p>
    <w:p>
      <w:pPr>
        <w:pStyle w:val="Heading2"/>
        <w:spacing w:after="110" w:before="200"/>
      </w:pPr>
      <w:r>
        <w:rPr>
          <w:rFonts w:ascii="黑体" w:cs="黑体" w:eastAsia="黑体" w:hAnsi="黑体"/>
          <w:b/>
          <w:bCs/>
          <w:sz w:val="24"/>
          <w:szCs w:val="24"/>
        </w:rPr>
        <w:t xml:space="preserve">（七）来宾交流意见</w:t>
      </w:r>
    </w:p>
    <w:p>
      <w:pPr>
        <w:spacing w:after="120" w:line="320"/>
      </w:pPr>
      <w:r>
        <w:rPr>
          <w:rFonts w:ascii="黑体" w:cs="黑体" w:eastAsia="黑体" w:hAnsi="黑体"/>
          <w:b/>
          <w:bCs/>
          <w:sz w:val="24"/>
          <w:szCs w:val="24"/>
        </w:rPr>
        <w:t xml:space="preserve">【展思辉】</w:t>
      </w:r>
      <w:r>
        <w:rPr>
          <w:rFonts w:ascii="宋体" w:cs="宋体" w:eastAsia="宋体" w:hAnsi="宋体"/>
          <w:sz w:val="24"/>
          <w:szCs w:val="24"/>
        </w:rPr>
        <w:t xml:space="preserve">代表学院欢迎陈晓青局长、李伟局长一行，对王天志老师在微纳米气泡、水产养殖与污水处理等方面的工作给予肯定，并介绍天津大学北洋大学堂为中国第一所现代大学的历史。展思辉提到王天志教授与蒙城有渊源，希望地方政府对课题组给予支持，探讨在蒙城开展示范应用。</w:t>
      </w:r>
    </w:p>
    <w:p>
      <w:pPr>
        <w:spacing w:after="120" w:line="320"/>
      </w:pPr>
      <w:r>
        <w:rPr>
          <w:rFonts w:ascii="黑体" w:cs="黑体" w:eastAsia="黑体" w:hAnsi="黑体"/>
          <w:b/>
          <w:bCs/>
          <w:sz w:val="24"/>
          <w:szCs w:val="24"/>
        </w:rPr>
        <w:t xml:space="preserve">【陈晓青、李伟】</w:t>
      </w:r>
      <w:r>
        <w:rPr>
          <w:rFonts w:ascii="宋体" w:cs="宋体" w:eastAsia="宋体" w:hAnsi="宋体"/>
          <w:sz w:val="24"/>
          <w:szCs w:val="24"/>
        </w:rPr>
        <w:t xml:space="preserve">介绍了蒙城黑臭水体治理的进展情况：治理前存在明显黑臭异味，目前已基本消除；水体透明度大部分断面达标，溶解氧等指标基本满足要求，仅有 1 个监测点数值略高，主要原因是该处存在持续排污、管网未能完全截流所致。</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表示将安排课题组接待来宾实地考察生产线与治理点位，并到现场查看水质改善情况；同时提到如条件合适，将向蒙城县委主要负责人进一步汇报项目进展。</w:t>
      </w:r>
    </w:p>
    <w:p>
      <w:pPr>
        <w:pStyle w:val="Heading1"/>
        <w:spacing w:after="140" w:before="260"/>
      </w:pPr>
      <w:r>
        <w:rPr>
          <w:rFonts w:ascii="黑体" w:cs="黑体" w:eastAsia="黑体" w:hAnsi="黑体"/>
          <w:b/>
          <w:bCs/>
          <w:sz w:val="28"/>
          <w:szCs w:val="28"/>
        </w:rPr>
        <w:t xml:space="preserve">三、讨论要点</w:t>
      </w:r>
    </w:p>
    <w:p>
      <w:pPr>
        <w:spacing w:after="100" w:line="320"/>
      </w:pPr>
      <w:r>
        <w:rPr>
          <w:rFonts w:ascii="宋体" w:cs="宋体" w:eastAsia="宋体" w:hAnsi="宋体"/>
          <w:sz w:val="24"/>
          <w:szCs w:val="24"/>
        </w:rPr>
        <w:t xml:space="preserve">1. 微纳米气泡的稳定性与尺度密切相关，直径约 50 微米时浮力与表面张力趋于平衡，在水体中最为稳定。</w:t>
      </w:r>
    </w:p>
    <w:p>
      <w:pPr>
        <w:spacing w:after="100" w:line="320"/>
      </w:pPr>
      <w:r>
        <w:rPr>
          <w:rFonts w:ascii="宋体" w:cs="宋体" w:eastAsia="宋体" w:hAnsi="宋体"/>
          <w:sz w:val="24"/>
          <w:szCs w:val="24"/>
        </w:rPr>
        <w:t xml:space="preserve">2. 气泡表面带负电富含羟基离子，溃破时产生羟基自由基等强氧化性物种，这是气泡水发挥作用的核心机理。</w:t>
      </w:r>
    </w:p>
    <w:p>
      <w:pPr>
        <w:spacing w:after="100" w:line="320"/>
      </w:pPr>
      <w:r>
        <w:rPr>
          <w:rFonts w:ascii="宋体" w:cs="宋体" w:eastAsia="宋体" w:hAnsi="宋体"/>
          <w:sz w:val="24"/>
          <w:szCs w:val="24"/>
        </w:rPr>
        <w:t xml:space="preserve">3. 微纳米气泡技术推广的两大瓶颈为运行能耗高与工程尺度气泡分布不稳定，此前未真正从实验室走向工程。</w:t>
      </w:r>
    </w:p>
    <w:p>
      <w:pPr>
        <w:spacing w:after="100" w:line="320"/>
      </w:pPr>
      <w:r>
        <w:rPr>
          <w:rFonts w:ascii="宋体" w:cs="宋体" w:eastAsia="宋体" w:hAnsi="宋体"/>
          <w:sz w:val="24"/>
          <w:szCs w:val="24"/>
        </w:rPr>
        <w:t xml:space="preserve">4. 课题组自主研发文丘里结构核心部件实现国产化，部分指标优于日本同类产品；超低阻曝气实现能耗降低 80%。</w:t>
      </w:r>
    </w:p>
    <w:p>
      <w:pPr>
        <w:spacing w:after="100" w:line="320"/>
      </w:pPr>
      <w:r>
        <w:rPr>
          <w:rFonts w:ascii="宋体" w:cs="宋体" w:eastAsia="宋体" w:hAnsi="宋体"/>
          <w:sz w:val="24"/>
          <w:szCs w:val="24"/>
        </w:rPr>
        <w:t xml:space="preserve">5. 氢气可实现选择性抗氧化，相关法规已允许其用于食品、饮用水与饮料，应用具备政策基础。</w:t>
      </w:r>
    </w:p>
    <w:p>
      <w:pPr>
        <w:spacing w:after="100" w:line="320"/>
      </w:pPr>
      <w:r>
        <w:rPr>
          <w:rFonts w:ascii="宋体" w:cs="宋体" w:eastAsia="宋体" w:hAnsi="宋体"/>
          <w:sz w:val="24"/>
          <w:szCs w:val="24"/>
        </w:rPr>
        <w:t xml:space="preserve">6. 封装与缓释是氢气纳米气泡水的关键，实测开封 2 小时仍保留约 80%，显著优于传统加压充气产品。</w:t>
      </w:r>
    </w:p>
    <w:p>
      <w:pPr>
        <w:spacing w:after="100" w:line="320"/>
      </w:pPr>
      <w:r>
        <w:rPr>
          <w:rFonts w:ascii="宋体" w:cs="宋体" w:eastAsia="宋体" w:hAnsi="宋体"/>
          <w:sz w:val="24"/>
          <w:szCs w:val="24"/>
        </w:rPr>
        <w:t xml:space="preserve">7. 课题组具备完整知识产权布局，已完成种子轮融资，估值约 7000 万元，产业化推进较为顺利。</w:t>
      </w:r>
    </w:p>
    <w:p>
      <w:pPr>
        <w:spacing w:after="100" w:line="320"/>
      </w:pPr>
      <w:r>
        <w:rPr>
          <w:rFonts w:ascii="宋体" w:cs="宋体" w:eastAsia="宋体" w:hAnsi="宋体"/>
          <w:sz w:val="24"/>
          <w:szCs w:val="24"/>
        </w:rPr>
        <w:t xml:space="preserve">8. 蒙城黑臭水体治理成效显著，异味基本消除，透明度与溶解氧等指标大部分达标，仅个别监测点仍偏高。</w:t>
      </w:r>
    </w:p>
    <w:p>
      <w:pPr>
        <w:pStyle w:val="Heading1"/>
        <w:spacing w:after="140" w:before="260"/>
      </w:pPr>
      <w:r>
        <w:rPr>
          <w:rFonts w:ascii="黑体" w:cs="黑体" w:eastAsia="黑体" w:hAnsi="黑体"/>
          <w:b/>
          <w:bCs/>
          <w:sz w:val="28"/>
          <w:szCs w:val="28"/>
        </w:rPr>
        <w:t xml:space="preserve">四、会议商定事项</w:t>
      </w:r>
    </w:p>
    <w:p>
      <w:pPr>
        <w:spacing w:after="140" w:before="0" w:line="320"/>
      </w:pPr>
      <w:r>
        <w:rPr>
          <w:rFonts w:ascii="宋体" w:cs="宋体" w:eastAsia="宋体" w:hAnsi="宋体"/>
          <w:sz w:val="24"/>
          <w:szCs w:val="24"/>
        </w:rPr>
        <w:t xml:space="preserve">本次会议属交流汇报性质，未形成合同或协议类承诺。以下为会上明确的后续工作意向：</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安排课题组接待来访一行实地考察生产线与水体治理点位，具体时间另行商定。</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如项目进展顺利，将向蒙城县委主要负责人进一步汇报工作成果，争取领导层关注与支持。</w:t>
      </w:r>
    </w:p>
    <w:p>
      <w:pPr>
        <w:spacing w:after="120" w:line="320"/>
      </w:pPr>
      <w:r>
        <w:rPr>
          <w:rFonts w:ascii="黑体" w:cs="黑体" w:eastAsia="黑体" w:hAnsi="黑体"/>
          <w:b/>
          <w:bCs/>
          <w:sz w:val="24"/>
          <w:szCs w:val="24"/>
        </w:rPr>
        <w:t xml:space="preserve">【双方】</w:t>
      </w:r>
      <w:r>
        <w:rPr>
          <w:rFonts w:ascii="宋体" w:cs="宋体" w:eastAsia="宋体" w:hAnsi="宋体"/>
          <w:sz w:val="24"/>
          <w:szCs w:val="24"/>
        </w:rPr>
        <w:t xml:space="preserve">拟就蒙城黑臭水体治理深化技术合作，结合当地水体条件探讨更适配的治理方案；具体合作模式待进一步协商。</w:t>
      </w:r>
    </w:p>
    <w:p>
      <w:pPr>
        <w:spacing w:after="120" w:line="320"/>
      </w:pPr>
      <w:r>
        <w:rPr>
          <w:rFonts w:ascii="黑体" w:cs="黑体" w:eastAsia="黑体" w:hAnsi="黑体"/>
          <w:b/>
          <w:bCs/>
          <w:sz w:val="24"/>
          <w:szCs w:val="24"/>
        </w:rPr>
        <w:t xml:space="preserve">【展思辉】</w:t>
      </w:r>
      <w:r>
        <w:rPr>
          <w:rFonts w:ascii="宋体" w:cs="宋体" w:eastAsia="宋体" w:hAnsi="宋体"/>
          <w:sz w:val="24"/>
          <w:szCs w:val="24"/>
        </w:rPr>
        <w:t xml:space="preserve">建议在蒙城探索建设微纳米气泡技术示范应用项目，发挥学院与地方合作渠道作用予以推动。</w:t>
      </w:r>
    </w:p>
    <w:p>
      <w:pPr>
        <w:spacing w:after="120" w:line="320"/>
      </w:pPr>
      <w:r>
        <w:rPr>
          <w:rFonts w:ascii="黑体" w:cs="黑体" w:eastAsia="黑体" w:hAnsi="黑体"/>
          <w:b/>
          <w:bCs/>
          <w:sz w:val="24"/>
          <w:szCs w:val="24"/>
        </w:rPr>
        <w:t xml:space="preserve">【王天志】</w:t>
      </w:r>
      <w:r>
        <w:rPr>
          <w:rFonts w:ascii="宋体" w:cs="宋体" w:eastAsia="宋体" w:hAnsi="宋体"/>
          <w:sz w:val="24"/>
          <w:szCs w:val="24"/>
        </w:rPr>
        <w:t xml:space="preserve">将继续推进技术向西北地区及南昌、杭州等地推广，并结合远程控制等新方向提升场景适配能力。</w:t>
      </w:r>
    </w:p>
    <w:p>
      <w:pPr>
        <w:pStyle w:val="Heading1"/>
        <w:spacing w:after="140" w:before="260"/>
      </w:pPr>
      <w:r>
        <w:rPr>
          <w:rFonts w:ascii="黑体" w:cs="黑体" w:eastAsia="黑体" w:hAnsi="黑体"/>
          <w:b/>
          <w:bCs/>
          <w:sz w:val="28"/>
          <w:szCs w:val="28"/>
        </w:rPr>
        <w:t xml:space="preserve">五、待办事项</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300"/>
        <w:gridCol w:w="1800"/>
        <w:gridCol w:w="700"/>
      </w:tblGrid>
      <w:tr>
        <w:trPr>
          <w:tblHeader/>
        </w:trPr>
        <w:tc>
          <w:tcPr>
            <w:tcW w:type="dxa" w:w="7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序号</w:t>
            </w:r>
          </w:p>
        </w:tc>
        <w:tc>
          <w:tcPr>
            <w:tcW w:type="dxa" w:w="29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事项</w:t>
            </w:r>
          </w:p>
        </w:tc>
        <w:tc>
          <w:tcPr>
            <w:tcW w:type="dxa" w:w="23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责任人</w:t>
            </w:r>
          </w:p>
        </w:tc>
        <w:tc>
          <w:tcPr>
            <w:tcW w:type="dxa" w:w="18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配合方</w:t>
            </w:r>
          </w:p>
        </w:tc>
        <w:tc>
          <w:tcPr>
            <w:tcW w:type="dxa" w:w="7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line="300"/>
            </w:pPr>
            <w:r>
              <w:rPr>
                <w:rFonts w:ascii="黑体" w:cs="黑体" w:eastAsia="黑体" w:hAnsi="黑体"/>
                <w:b/>
                <w:bCs/>
                <w:sz w:val="22"/>
                <w:szCs w:val="22"/>
              </w:rPr>
              <w:t xml:space="preserve">时限</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1</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接待来访一行实地考察生产线与治理点位</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王天志</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蒙城县水利局、交通局</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待商定</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2</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向蒙城县委主要负责人汇报项目进展</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王天志</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展思辉</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尽快</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整理蒙城黑臭水体治理技术方案与报价，供地方参考</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王天志</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课题组</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待商定</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持续跟踪唯一超标监测点（持续排污、管网未完全截流）的整改情况</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蒙城县主管部门</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课题组提供技术支持</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长期</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推进西北地区及南昌、杭州方向的市场推广</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王天志</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课题组</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300"/>
            </w:pPr>
            <w:r>
              <w:rPr>
                <w:rFonts w:ascii="宋体" w:cs="宋体" w:eastAsia="宋体" w:hAnsi="宋体"/>
                <w:sz w:val="22"/>
                <w:szCs w:val="22"/>
              </w:rPr>
              <w:t xml:space="preserve">持续</w:t>
            </w:r>
          </w:p>
        </w:tc>
      </w:tr>
    </w:tbl>
    <w:p>
      <w:pPr>
        <w:spacing w:after="0"/>
      </w:pPr>
      <w:r>
        <w:t xml:space="preserve"/>
      </w:r>
    </w:p>
    <w:p>
      <w:pPr>
        <w:pStyle w:val="Heading1"/>
        <w:spacing w:after="140" w:before="260"/>
      </w:pPr>
      <w:r>
        <w:rPr>
          <w:rFonts w:ascii="黑体" w:cs="黑体" w:eastAsia="黑体" w:hAnsi="黑体"/>
          <w:b/>
          <w:bCs/>
          <w:sz w:val="28"/>
          <w:szCs w:val="28"/>
        </w:rPr>
        <w:t xml:space="preserve">六、记录说明</w:t>
      </w:r>
    </w:p>
    <w:p>
      <w:pPr>
        <w:spacing w:after="100" w:line="320"/>
      </w:pPr>
      <w:r>
        <w:rPr>
          <w:rFonts w:ascii="宋体" w:cs="宋体" w:eastAsia="宋体" w:hAnsi="宋体"/>
          <w:sz w:val="24"/>
          <w:szCs w:val="24"/>
        </w:rPr>
        <w:t xml:space="preserve">1. 本纪要依据会议现场录音（58 分 10 秒）经自动语音转写后人工校订整理。原始转写中专业术语与专有名词存在识别误差，本纪要已按语境校正（如“氢气”曾误识别为“清气”、“微纳米气泡”曾误识别为“微纳米锡块”、“黑臭水体”曾误识别为“黑色水体”、“溶解氧”曾误识别为“龙家祥特明度”等）。</w:t>
      </w:r>
    </w:p>
    <w:p>
      <w:pPr>
        <w:spacing w:after="100" w:line="320"/>
      </w:pPr>
      <w:r>
        <w:rPr>
          <w:rFonts w:ascii="宋体" w:cs="宋体" w:eastAsia="宋体" w:hAnsi="宋体"/>
          <w:sz w:val="24"/>
          <w:szCs w:val="24"/>
        </w:rPr>
        <w:t xml:space="preserve">2. 自动说话人分离未能可靠区分来宾发言——来宾发言时长较短，多数被并入主发言人标签。故本纪要中"来宾交流意见"部分按可辨识内容归纳整理，未逐句标注发言人。</w:t>
      </w:r>
    </w:p>
    <w:p>
      <w:pPr>
        <w:spacing w:after="100" w:line="320"/>
      </w:pPr>
      <w:r>
        <w:rPr>
          <w:rFonts w:ascii="宋体" w:cs="宋体" w:eastAsia="宋体" w:hAnsi="宋体"/>
          <w:sz w:val="24"/>
          <w:szCs w:val="24"/>
        </w:rPr>
        <w:t xml:space="preserve">3. 会议中播放的两段宣传片旁白，一度被声纹识别系统误判为现场发言人。经核实该段为视频配音而非与会人员发言，系统标签已更正为"视频旁白"。</w:t>
      </w:r>
    </w:p>
    <w:p>
      <w:pPr>
        <w:spacing w:after="100" w:line="320"/>
      </w:pPr>
      <w:r>
        <w:rPr>
          <w:rFonts w:ascii="宋体" w:cs="宋体" w:eastAsia="宋体" w:hAnsi="宋体"/>
          <w:sz w:val="24"/>
          <w:szCs w:val="24"/>
        </w:rPr>
        <w:t xml:space="preserve">4. 会议原始录音与完整转录已在小气助手会议系统（会议 ID 257）中归档，可回溯查阅。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2026-10-18T06:58:26.552Z</dcterms:created>
  <dcterms:modified xsi:type="dcterms:W3CDTF">2026-10-18T06:58:26.552Z</dcterms:modified>
</cp:coreProperties>
</file>

<file path=docProps/custom.xml><?xml version="1.0" encoding="utf-8"?>
<Properties xmlns="http://schemas.openxmlformats.org/officeDocument/2006/custom-properties" xmlns:vt="http://schemas.openxmlformats.org/officeDocument/2006/docPropsVTypes"/>
</file>