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left"/>
      </w:pPr>
      <w:r>
        <w:rPr>
          <w:rFonts w:ascii="Arial" w:cs="Arial" w:eastAsia="Arial" w:hAnsi="Arial"/>
          <w:b/>
          <w:bCs/>
          <w:color w:val="4A6CF7"/>
          <w:spacing w:val="200"/>
          <w:sz w:val="20"/>
          <w:szCs w:val="20"/>
        </w:rPr>
        <w:t xml:space="preserve">AGENTIC INSIGHTS</w:t>
      </w:r>
    </w:p>
    <w:p>
      <w:pPr>
        <w:spacing w:before="100" w:after="100"/>
      </w:pPr>
    </w:p>
    <w:p>
      <w:pPr>
        <w:pBdr>
          <w:bottom w:val="single" w:color="4A6CF7" w:sz="6" w:space="1"/>
        </w:pBdr>
        <w:spacing w:after="300"/>
      </w:pPr>
    </w:p>
    <w:p>
      <w:pPr>
        <w:spacing w:after="200"/>
      </w:pPr>
      <w:r>
        <w:rPr>
          <w:rFonts w:ascii="Arial" w:cs="Arial" w:eastAsia="Arial" w:hAnsi="Arial"/>
          <w:b/>
          <w:bCs/>
          <w:color w:val="1A1A2E"/>
          <w:sz w:val="56"/>
          <w:szCs w:val="56"/>
        </w:rPr>
        <w:t xml:space="preserve">Strategic Repositioning</w:t>
      </w:r>
    </w:p>
    <w:p>
      <w:pPr>
        <w:spacing w:after="100"/>
      </w:pPr>
      <w:r>
        <w:rPr>
          <w:rFonts w:ascii="Arial" w:cs="Arial" w:eastAsia="Arial" w:hAnsi="Arial"/>
          <w:color w:val="4A6CF7"/>
          <w:sz w:val="40"/>
          <w:szCs w:val="40"/>
        </w:rPr>
        <w:t xml:space="preserve">Product. Process. People.</w:t>
      </w:r>
    </w:p>
    <w:p>
      <w:pPr>
        <w:spacing w:before="200" w:after="200"/>
      </w:pPr>
    </w:p>
    <w:p>
      <w:r>
        <w:rPr>
          <w:rFonts w:ascii="Arial" w:cs="Arial" w:eastAsia="Arial" w:hAnsi="Arial"/>
          <w:color w:val="666666"/>
          <w:sz w:val="24"/>
          <w:szCs w:val="24"/>
        </w:rPr>
        <w:t xml:space="preserve">A framework for restructuring Agentic Insights’ offerings around the three pillars that matter most to enterprise buyers.</w:t>
      </w:r>
    </w:p>
    <w:p>
      <w:pPr>
        <w:spacing w:before="1200" w:after="1200"/>
      </w:pPr>
    </w:p>
    <w:p>
      <w:r>
        <w:rPr>
          <w:rFonts w:ascii="Arial" w:cs="Arial" w:eastAsia="Arial" w:hAnsi="Arial"/>
          <w:color w:val="666666"/>
          <w:sz w:val="20"/>
          <w:szCs w:val="20"/>
        </w:rPr>
        <w:t xml:space="preserve">Prepared for: </w:t>
      </w:r>
      <w:r>
        <w:rPr>
          <w:rFonts w:ascii="Arial" w:cs="Arial" w:eastAsia="Arial" w:hAnsi="Arial"/>
          <w:b/>
          <w:bCs/>
          <w:color w:val="333333"/>
          <w:sz w:val="20"/>
          <w:szCs w:val="20"/>
        </w:rPr>
        <w:t xml:space="preserve">Agentic Insights Leadership</w:t>
      </w:r>
    </w:p>
    <w:p>
      <w:pPr>
        <w:spacing w:before="80"/>
      </w:pPr>
      <w:r>
        <w:rPr>
          <w:rFonts w:ascii="Arial" w:cs="Arial" w:eastAsia="Arial" w:hAnsi="Arial"/>
          <w:color w:val="666666"/>
          <w:sz w:val="20"/>
          <w:szCs w:val="20"/>
        </w:rPr>
        <w:t xml:space="preserve">Date: </w:t>
      </w:r>
      <w:r>
        <w:rPr>
          <w:rFonts w:ascii="Arial" w:cs="Arial" w:eastAsia="Arial" w:hAnsi="Arial"/>
          <w:color w:val="333333"/>
          <w:sz w:val="20"/>
          <w:szCs w:val="20"/>
        </w:rPr>
        <w:t xml:space="preserve">February 2026</w:t>
      </w:r>
    </w:p>
    <w:p>
      <w:pPr>
        <w:spacing w:before="80"/>
      </w:pPr>
      <w:r>
        <w:rPr>
          <w:rFonts w:ascii="Arial" w:cs="Arial" w:eastAsia="Arial" w:hAnsi="Arial"/>
          <w:color w:val="666666"/>
          <w:sz w:val="20"/>
          <w:szCs w:val="20"/>
        </w:rPr>
        <w:t xml:space="preserve">Classification: </w:t>
      </w:r>
      <w:r>
        <w:rPr>
          <w:rFonts w:ascii="Arial" w:cs="Arial" w:eastAsia="Arial" w:hAnsi="Arial"/>
          <w:color w:val="333333"/>
          <w:sz w:val="20"/>
          <w:szCs w:val="20"/>
        </w:rPr>
        <w:t xml:space="preserve">Internal / Strategic</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6"/>
          <w:szCs w:val="36"/>
        </w:rPr>
        <w:t xml:space="preserve">Executive Summary</w:t>
      </w:r>
    </w:p>
    <w:p>
      <w:pPr>
        <w:pBdr>
          <w:bottom w:val="single" w:color="4A6CF7" w:sz="4" w:space="1"/>
        </w:pBdr>
        <w:spacing w:after="200"/>
      </w:pPr>
    </w:p>
    <w:p>
      <w:pPr>
        <w:spacing w:before="80" w:after="80" w:line="300"/>
      </w:pPr>
      <w:r>
        <w:rPr>
          <w:rFonts w:ascii="Arial" w:cs="Arial" w:eastAsia="Arial" w:hAnsi="Arial"/>
          <w:color w:val="333333"/>
          <w:sz w:val="22"/>
          <w:szCs w:val="22"/>
        </w:rPr>
        <w:t xml:space="preserve">This document outlines a strategic repositioning of Agentic Insights’ service offerings from the current four-pillar structure (AI Strategy &amp; Roadmapping, Imprint Framework, AI Revenue Products, AI-First Engineering) to a cleaner, more buyer-aligned three-pillar framework: Product, Process, and People.</w:t>
      </w:r>
    </w:p>
    <w:p>
      <w:pPr>
        <w:spacing w:before="80" w:after="80" w:line="300"/>
      </w:pPr>
      <w:r>
        <w:rPr>
          <w:rFonts w:ascii="Arial" w:cs="Arial" w:eastAsia="Arial" w:hAnsi="Arial"/>
          <w:color w:val="333333"/>
          <w:sz w:val="22"/>
          <w:szCs w:val="22"/>
        </w:rPr>
        <w:t xml:space="preserve">The new framework achieves three things: it aligns offerings to how enterprise leaders actually think about transformation, it gives Imprint a more powerful role as the methodology underpinning all three pillars rather than a standalone product, and it centres customer experience (CX) and colleague experience (EX) as first-class outcomes rather than implied benefits.</w:t>
      </w:r>
    </w:p>
    <w:p>
      <w:pPr>
        <w:spacing w:before="100" w:after="100"/>
      </w:pPr>
    </w:p>
    <w:p>
      <w:pPr>
        <w:pStyle w:val="Heading2"/>
        <w:spacing w:before="280" w:after="160"/>
      </w:pPr>
      <w:r>
        <w:rPr>
          <w:rFonts w:ascii="Arial" w:cs="Arial" w:eastAsia="Arial" w:hAnsi="Arial"/>
          <w:b/>
          <w:bCs/>
          <w:color w:val="4A6CF7"/>
          <w:sz w:val="28"/>
          <w:szCs w:val="28"/>
        </w:rPr>
        <w:t xml:space="preserve">Why Now</w:t>
      </w:r>
    </w:p>
    <w:p>
      <w:pPr>
        <w:spacing w:before="80" w:after="80" w:line="300"/>
      </w:pPr>
      <w:r>
        <w:rPr>
          <w:rFonts w:ascii="Arial" w:cs="Arial" w:eastAsia="Arial" w:hAnsi="Arial"/>
          <w:color w:val="333333"/>
          <w:sz w:val="22"/>
          <w:szCs w:val="22"/>
        </w:rPr>
        <w:t xml:space="preserve">The current site positions Agentic Insights as an AI-capability company. The new framing positions it as a transformation partner. This matters because buyers don’t wake up thinking “I need AI-first engineering.” They think “How do I make my products smarter, my operations faster, and my people more effective?” Product, Process, People answers that question directly.</w:t>
      </w:r>
    </w:p>
    <w:p>
      <w:r>
        <w:br w:type="page"/>
      </w:r>
    </w:p>
    <w:p>
      <w:pPr>
        <w:pStyle w:val="Heading1"/>
        <w:spacing w:before="360" w:after="200"/>
      </w:pPr>
      <w:r>
        <w:rPr>
          <w:rFonts w:ascii="Arial" w:cs="Arial" w:eastAsia="Arial" w:hAnsi="Arial"/>
          <w:b/>
          <w:bCs/>
          <w:color w:val="1A1A2E"/>
          <w:sz w:val="36"/>
          <w:szCs w:val="36"/>
        </w:rPr>
        <w:t xml:space="preserve">Current State vs. Future State</w:t>
      </w:r>
    </w:p>
    <w:p>
      <w:pPr>
        <w:pBdr>
          <w:bottom w:val="single" w:color="4A6CF7" w:sz="4" w:space="1"/>
        </w:pBdr>
        <w:spacing w:after="200"/>
      </w:pPr>
    </w:p>
    <w:p>
      <w:pPr>
        <w:spacing w:before="80" w:after="80" w:line="300"/>
      </w:pPr>
      <w:r>
        <w:rPr>
          <w:rFonts w:ascii="Arial" w:cs="Arial" w:eastAsia="Arial" w:hAnsi="Arial"/>
          <w:color w:val="333333"/>
          <w:sz w:val="22"/>
          <w:szCs w:val="22"/>
        </w:rPr>
        <w:t xml:space="preserve">The table below summarises the key shifts between the current website positioning and the proposed new framework.</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Dimension</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Current Positioning</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New Positioning</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Structure</w:t>
            </w:r>
          </w:p>
        </w:tc>
        <w:tc>
          <w:tcPr>
            <w:tcW w:type="dxa" w:w="351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4 offerings (Strategy, Imprint, Revenue Products, AI-First Engineering)</w:t>
            </w:r>
          </w:p>
        </w:tc>
        <w:tc>
          <w:tcPr>
            <w:tcW w:type="dxa" w:w="351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3 pillars (Product, Process, People)</w:t>
            </w:r>
          </w:p>
        </w:tc>
      </w:tr>
      <w:tr>
        <w:tc>
          <w:tcPr>
            <w:tcW w:type="dxa" w:w="234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b/>
                <w:bCs/>
                <w:color w:val="1A1A2E"/>
                <w:sz w:val="20"/>
                <w:szCs w:val="20"/>
              </w:rPr>
              <w:t xml:space="preserve">Hero Concept</w:t>
            </w:r>
          </w:p>
        </w:tc>
        <w:tc>
          <w:tcPr>
            <w:tcW w:type="dxa" w:w="351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color w:val="333333"/>
                <w:sz w:val="20"/>
                <w:szCs w:val="20"/>
              </w:rPr>
              <w:t xml:space="preserve">Imprint as standalone product</w:t>
            </w:r>
          </w:p>
        </w:tc>
        <w:tc>
          <w:tcPr>
            <w:tcW w:type="dxa" w:w="351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color w:val="333333"/>
                <w:sz w:val="20"/>
                <w:szCs w:val="20"/>
              </w:rPr>
              <w:t xml:space="preserve">Imprint as the methodology woven through all three pillars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Buyer Language</w:t>
            </w:r>
          </w:p>
        </w:tc>
        <w:tc>
          <w:tcPr>
            <w:tcW w:type="dxa" w:w="351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Tech-forward / capability-led</w:t>
            </w:r>
          </w:p>
        </w:tc>
        <w:tc>
          <w:tcPr>
            <w:tcW w:type="dxa" w:w="351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Outcome-led / aligned to what leaders actually buy</w:t>
            </w:r>
          </w:p>
        </w:tc>
      </w:tr>
      <w:tr>
        <w:tc>
          <w:tcPr>
            <w:tcW w:type="dxa" w:w="234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b/>
                <w:bCs/>
                <w:color w:val="1A1A2E"/>
                <w:sz w:val="20"/>
                <w:szCs w:val="20"/>
              </w:rPr>
              <w:t xml:space="preserve">Differentiation</w:t>
            </w:r>
          </w:p>
        </w:tc>
        <w:tc>
          <w:tcPr>
            <w:tcW w:type="dxa" w:w="351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color w:val="333333"/>
                <w:sz w:val="20"/>
                <w:szCs w:val="20"/>
              </w:rPr>
              <w:t xml:space="preserve">Encoding expertise into AI</w:t>
            </w:r>
          </w:p>
        </w:tc>
        <w:tc>
          <w:tcPr>
            <w:tcW w:type="dxa" w:w="351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color w:val="333333"/>
                <w:sz w:val="20"/>
                <w:szCs w:val="20"/>
              </w:rPr>
              <w:t xml:space="preserve">Encoding what makes your people and org unique into scalable AI</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Scope</w:t>
            </w:r>
          </w:p>
        </w:tc>
        <w:tc>
          <w:tcPr>
            <w:tcW w:type="dxa" w:w="351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Knowledge workers / IP capture</w:t>
            </w:r>
          </w:p>
        </w:tc>
        <w:tc>
          <w:tcPr>
            <w:tcW w:type="dxa" w:w="351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Full enterprise transformation: product, operations, and talent amplification</w:t>
            </w:r>
          </w:p>
        </w:tc>
      </w:tr>
      <w:tr>
        <w:tc>
          <w:tcPr>
            <w:tcW w:type="dxa" w:w="234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b/>
                <w:bCs/>
                <w:color w:val="1A1A2E"/>
                <w:sz w:val="20"/>
                <w:szCs w:val="20"/>
              </w:rPr>
              <w:t xml:space="preserve">CX / EX Focus</w:t>
            </w:r>
          </w:p>
        </w:tc>
        <w:tc>
          <w:tcPr>
            <w:tcW w:type="dxa" w:w="351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color w:val="333333"/>
                <w:sz w:val="20"/>
                <w:szCs w:val="20"/>
              </w:rPr>
              <w:t xml:space="preserve">Minimal</w:t>
            </w:r>
          </w:p>
        </w:tc>
        <w:tc>
          <w:tcPr>
            <w:tcW w:type="dxa" w:w="351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color w:val="333333"/>
                <w:sz w:val="20"/>
                <w:szCs w:val="20"/>
              </w:rPr>
              <w:t xml:space="preserve">Central to Process pillar, reinforced across all three</w:t>
            </w:r>
          </w:p>
        </w:tc>
      </w:tr>
    </w:tbl>
    <w:p>
      <w:pPr>
        <w:spacing w:before="200" w:after="200"/>
      </w:pPr>
    </w:p>
    <w:p>
      <w:pPr>
        <w:pStyle w:val="Heading2"/>
        <w:spacing w:before="280" w:after="160"/>
      </w:pPr>
      <w:r>
        <w:rPr>
          <w:rFonts w:ascii="Arial" w:cs="Arial" w:eastAsia="Arial" w:hAnsi="Arial"/>
          <w:b/>
          <w:bCs/>
          <w:color w:val="4A6CF7"/>
          <w:sz w:val="28"/>
          <w:szCs w:val="28"/>
        </w:rPr>
        <w:t xml:space="preserve">How Current Offerings Map to the New Pillars</w:t>
      </w:r>
    </w:p>
    <w:p>
      <w:pPr>
        <w:spacing w:before="80" w:after="80" w:line="300"/>
      </w:pPr>
      <w:r>
        <w:rPr>
          <w:rFonts w:ascii="Arial" w:cs="Arial" w:eastAsia="Arial" w:hAnsi="Arial"/>
          <w:color w:val="333333"/>
          <w:sz w:val="22"/>
          <w:szCs w:val="22"/>
        </w:rPr>
        <w:t xml:space="preserve">Nothing is lost in this transition — every current capability finds a natural home. The difference is how they’re framed and sold.</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4A6CF7" w:val="clear"/>
            <w:tcMar>
              <w:top w:type="dxa" w:w="100"/>
              <w:left w:type="dxa" w:w="150"/>
              <w:bottom w:type="dxa" w:w="100"/>
              <w:right w:type="dxa" w:w="150"/>
            </w:tcMar>
          </w:tcPr>
          <w:p>
            <w:r>
              <w:rPr>
                <w:rFonts w:ascii="Arial" w:cs="Arial" w:eastAsia="Arial" w:hAnsi="Arial"/>
                <w:b/>
                <w:bCs/>
                <w:color w:val="FFFFFF"/>
                <w:sz w:val="20"/>
                <w:szCs w:val="20"/>
              </w:rPr>
              <w:t xml:space="preserve">New Pillar</w:t>
            </w:r>
          </w:p>
        </w:tc>
        <w:tc>
          <w:tcPr>
            <w:tcW w:type="dxa" w:w="3580"/>
            <w:tcBorders>
              <w:top w:val="single" w:color="DDDDDD" w:sz="1"/>
              <w:left w:val="single" w:color="DDDDDD" w:sz="1"/>
              <w:bottom w:val="single" w:color="DDDDDD" w:sz="1"/>
              <w:right w:val="single" w:color="DDDDDD" w:sz="1"/>
            </w:tcBorders>
            <w:shd w:fill="4A6CF7" w:val="clear"/>
            <w:tcMar>
              <w:top w:type="dxa" w:w="100"/>
              <w:left w:type="dxa" w:w="150"/>
              <w:bottom w:type="dxa" w:w="100"/>
              <w:right w:type="dxa" w:w="150"/>
            </w:tcMar>
          </w:tcPr>
          <w:p>
            <w:r>
              <w:rPr>
                <w:rFonts w:ascii="Arial" w:cs="Arial" w:eastAsia="Arial" w:hAnsi="Arial"/>
                <w:b/>
                <w:bCs/>
                <w:color w:val="FFFFFF"/>
                <w:sz w:val="20"/>
                <w:szCs w:val="20"/>
              </w:rPr>
              <w:t xml:space="preserve">Current Offering(s) Absorbed</w:t>
            </w:r>
          </w:p>
        </w:tc>
        <w:tc>
          <w:tcPr>
            <w:tcW w:type="dxa" w:w="3580"/>
            <w:tcBorders>
              <w:top w:val="single" w:color="DDDDDD" w:sz="1"/>
              <w:left w:val="single" w:color="DDDDDD" w:sz="1"/>
              <w:bottom w:val="single" w:color="DDDDDD" w:sz="1"/>
              <w:right w:val="single" w:color="DDDDDD" w:sz="1"/>
            </w:tcBorders>
            <w:shd w:fill="4A6CF7" w:val="clear"/>
            <w:tcMar>
              <w:top w:type="dxa" w:w="100"/>
              <w:left w:type="dxa" w:w="150"/>
              <w:bottom w:type="dxa" w:w="100"/>
              <w:right w:type="dxa" w:w="150"/>
            </w:tcMar>
          </w:tcPr>
          <w:p>
            <w:r>
              <w:rPr>
                <w:rFonts w:ascii="Arial" w:cs="Arial" w:eastAsia="Arial" w:hAnsi="Arial"/>
                <w:b/>
                <w:bCs/>
                <w:color w:val="FFFFFF"/>
                <w:sz w:val="20"/>
                <w:szCs w:val="20"/>
              </w:rPr>
              <w:t xml:space="preserve">What Changes</w:t>
            </w:r>
          </w:p>
        </w:tc>
      </w:tr>
      <w:tr>
        <w:tc>
          <w:tcPr>
            <w:tcW w:type="dxa" w:w="220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b/>
                <w:bCs/>
                <w:color w:val="4A6CF7"/>
                <w:sz w:val="20"/>
                <w:szCs w:val="20"/>
              </w:rPr>
              <w:t xml:space="preserve">Product</w:t>
            </w:r>
          </w:p>
        </w:tc>
        <w:tc>
          <w:tcPr>
            <w:tcW w:type="dxa" w:w="358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AI Revenue Products + AI-First Engineering</w:t>
            </w:r>
          </w:p>
        </w:tc>
        <w:tc>
          <w:tcPr>
            <w:tcW w:type="dxa" w:w="358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Reframed around helping clients build AI into their products with the right level of AI capability — not over-engineering, not under-investing.</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4A6CF7"/>
                <w:sz w:val="20"/>
                <w:szCs w:val="20"/>
              </w:rPr>
              <w:t xml:space="preserve">Process</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AI Strategy &amp; Roadmapping (partially)</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Repositioned around CX and colleague experience. Covers process discovery, intelligent automation, and agentic orchestration of internal and customer-facing workflows.</w:t>
            </w:r>
          </w:p>
        </w:tc>
      </w:tr>
      <w:tr>
        <w:tc>
          <w:tcPr>
            <w:tcW w:type="dxa" w:w="220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b/>
                <w:bCs/>
                <w:color w:val="4A6CF7"/>
                <w:sz w:val="20"/>
                <w:szCs w:val="20"/>
              </w:rPr>
              <w:t xml:space="preserve">People</w:t>
            </w:r>
          </w:p>
        </w:tc>
        <w:tc>
          <w:tcPr>
            <w:tcW w:type="dxa" w:w="358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Imprint Framework</w:t>
            </w:r>
          </w:p>
        </w:tc>
        <w:tc>
          <w:tcPr>
            <w:tcW w:type="dxa" w:w="3580"/>
            <w:tcBorders>
              <w:top w:val="single" w:color="DDDDDD" w:sz="1"/>
              <w:left w:val="single" w:color="DDDDDD" w:sz="1"/>
              <w:bottom w:val="single" w:color="DDDDDD" w:sz="1"/>
              <w:right w:val="single" w:color="DDDDDD" w:sz="1"/>
            </w:tcBorders>
            <w:shd w:fill="F0F2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Imprint becomes the engine behind this pillar. Focus is on capturing what makes an organisation’s people unique and scaling that through agents for consistent, on-brand output.</w:t>
            </w:r>
          </w:p>
        </w:tc>
      </w:tr>
    </w:tbl>
    <w:p>
      <w:r>
        <w:br w:type="page"/>
      </w:r>
    </w:p>
    <w:p>
      <w:pPr>
        <w:pStyle w:val="Heading1"/>
        <w:spacing w:before="360" w:after="200"/>
      </w:pPr>
      <w:r>
        <w:rPr>
          <w:rFonts w:ascii="Arial" w:cs="Arial" w:eastAsia="Arial" w:hAnsi="Arial"/>
          <w:b/>
          <w:bCs/>
          <w:color w:val="1A1A2E"/>
          <w:sz w:val="36"/>
          <w:szCs w:val="36"/>
        </w:rPr>
        <w:t xml:space="preserve">The Three Pillars: Detailed</w:t>
      </w:r>
    </w:p>
    <w:p>
      <w:pPr>
        <w:pBdr>
          <w:bottom w:val="single" w:color="4A6CF7" w:sz="4" w:space="1"/>
        </w:pBdr>
        <w:spacing w:after="200"/>
      </w:pPr>
    </w:p>
    <w:p>
      <w:pPr>
        <w:spacing w:before="80" w:after="80" w:line="300"/>
      </w:pPr>
      <w:r>
        <w:rPr>
          <w:rFonts w:ascii="Arial" w:cs="Arial" w:eastAsia="Arial" w:hAnsi="Arial"/>
          <w:color w:val="333333"/>
          <w:sz w:val="22"/>
          <w:szCs w:val="22"/>
        </w:rPr>
        <w:t xml:space="preserve">Each pillar below is defined by a core question it answers for the buyer, a clear scope, and the specific outcomes it delivers.</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6CF7" w:val="clear"/>
            <w:tcMar>
              <w:top w:type="dxa" w:w="150"/>
              <w:left w:type="dxa" w:w="200"/>
              <w:bottom w:type="dxa" w:w="150"/>
              <w:right w:type="dxa" w:w="200"/>
            </w:tcMar>
          </w:tcPr>
          <w:p>
            <w:r>
              <w:rPr>
                <w:rFonts w:ascii="Arial" w:cs="Arial" w:eastAsia="Arial" w:hAnsi="Arial"/>
                <w:b/>
                <w:bCs/>
                <w:color w:val="FFFFFF"/>
                <w:sz w:val="28"/>
                <w:szCs w:val="28"/>
              </w:rPr>
              <w:t xml:space="preserve">1. PRODUCT</w:t>
            </w:r>
          </w:p>
          <w:p>
            <w:pPr>
              <w:spacing w:before="60"/>
            </w:pPr>
            <w:r>
              <w:rPr>
                <w:rFonts w:ascii="Arial" w:cs="Arial" w:eastAsia="Arial" w:hAnsi="Arial"/>
                <w:i/>
                <w:iCs/>
                <w:color w:val="E0E4FF"/>
                <w:sz w:val="22"/>
                <w:szCs w:val="22"/>
              </w:rPr>
              <w:t xml:space="preserve">Incorporating AI capabilities within product development — ensuring the right level of AI is used.</w:t>
            </w:r>
          </w:p>
        </w:tc>
      </w:tr>
      <w:tr>
        <w:tc>
          <w:tcPr>
            <w:tcW w:type="dxa" w:w="9360"/>
            <w:tcBorders>
              <w:top w:val="none" w:sz="0"/>
              <w:left w:val="none" w:sz="0"/>
              <w:bottom w:val="none" w:sz="0"/>
              <w:right w:val="none" w:sz="0"/>
            </w:tcBorders>
            <w:shd w:fill="F0F2FF" w:val="clear"/>
            <w:tcMar>
              <w:top w:type="dxa" w:w="150"/>
              <w:left w:type="dxa" w:w="200"/>
              <w:bottom w:type="dxa" w:w="150"/>
              <w:right w:type="dxa" w:w="200"/>
            </w:tcMar>
          </w:tcPr>
          <w:p>
            <w:pPr>
              <w:spacing w:after="120"/>
            </w:pPr>
            <w:r>
              <w:rPr>
                <w:rFonts w:ascii="Arial" w:cs="Arial" w:eastAsia="Arial" w:hAnsi="Arial"/>
                <w:color w:val="333333"/>
                <w:sz w:val="22"/>
                <w:szCs w:val="22"/>
              </w:rPr>
              <w:t xml:space="preserve">Most organisations either over-engineer AI into their products (adding cost and complexity with no return) or under-invest (missing competitive opportunities). The Product pillar helps clients find the right level of AI for their specific product context — whether that’s an AI-native product, an AI-enhanced feature, or knowing when AI isn’t the answer.</w:t>
            </w:r>
          </w:p>
          <w:p>
            <w:pPr>
              <w:pStyle w:val="ListParagraph"/>
              <w:numPr>
                <w:ilvl w:val="0"/>
                <w:numId w:val="2"/>
              </w:numPr>
              <w:spacing w:before="40" w:after="40"/>
            </w:pPr>
            <w:r>
              <w:rPr>
                <w:rFonts w:ascii="Arial" w:cs="Arial" w:eastAsia="Arial" w:hAnsi="Arial"/>
                <w:color w:val="333333"/>
                <w:sz w:val="21"/>
                <w:szCs w:val="21"/>
              </w:rPr>
              <w:t xml:space="preserve">AI product strategy: where AI adds genuine value vs. where it’s noise</w:t>
            </w:r>
          </w:p>
          <w:p>
            <w:pPr>
              <w:pStyle w:val="ListParagraph"/>
              <w:numPr>
                <w:ilvl w:val="0"/>
                <w:numId w:val="2"/>
              </w:numPr>
              <w:spacing w:before="40" w:after="40"/>
            </w:pPr>
            <w:r>
              <w:rPr>
                <w:rFonts w:ascii="Arial" w:cs="Arial" w:eastAsia="Arial" w:hAnsi="Arial"/>
                <w:color w:val="333333"/>
                <w:sz w:val="21"/>
                <w:szCs w:val="21"/>
              </w:rPr>
              <w:t xml:space="preserve">AI-first engineering for rapid prototyping and platform development</w:t>
            </w:r>
          </w:p>
          <w:p>
            <w:pPr>
              <w:pStyle w:val="ListParagraph"/>
              <w:numPr>
                <w:ilvl w:val="0"/>
                <w:numId w:val="2"/>
              </w:numPr>
              <w:spacing w:before="40" w:after="40"/>
            </w:pPr>
            <w:r>
              <w:rPr>
                <w:rFonts w:ascii="Arial" w:cs="Arial" w:eastAsia="Arial" w:hAnsi="Arial"/>
                <w:color w:val="333333"/>
                <w:sz w:val="21"/>
                <w:szCs w:val="21"/>
              </w:rPr>
              <w:t xml:space="preserve">Turning proprietary IP into scalable, AI-powered commercial products</w:t>
            </w:r>
          </w:p>
          <w:p>
            <w:pPr>
              <w:pStyle w:val="ListParagraph"/>
              <w:numPr>
                <w:ilvl w:val="0"/>
                <w:numId w:val="2"/>
              </w:numPr>
              <w:spacing w:before="40" w:after="40"/>
            </w:pPr>
            <w:r>
              <w:rPr>
                <w:rFonts w:ascii="Arial" w:cs="Arial" w:eastAsia="Arial" w:hAnsi="Arial"/>
                <w:color w:val="333333"/>
                <w:sz w:val="21"/>
                <w:szCs w:val="21"/>
              </w:rPr>
              <w:t xml:space="preserve">Product architecture that balances AI capability with maintainability</w:t>
            </w:r>
          </w:p>
          <w:p>
            <w:pPr>
              <w:pStyle w:val="ListParagraph"/>
              <w:numPr>
                <w:ilvl w:val="0"/>
                <w:numId w:val="2"/>
              </w:numPr>
              <w:spacing w:before="40" w:after="40"/>
            </w:pPr>
            <w:r>
              <w:rPr>
                <w:rFonts w:ascii="Arial" w:cs="Arial" w:eastAsia="Arial" w:hAnsi="Arial"/>
                <w:color w:val="333333"/>
                <w:sz w:val="21"/>
                <w:szCs w:val="21"/>
              </w:rPr>
              <w:t xml:space="preserve">Right-sizing AI: matching model sophistication to actual use case requirements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6CF7" w:val="clear"/>
            <w:tcMar>
              <w:top w:type="dxa" w:w="150"/>
              <w:left w:type="dxa" w:w="200"/>
              <w:bottom w:type="dxa" w:w="150"/>
              <w:right w:type="dxa" w:w="200"/>
            </w:tcMar>
          </w:tcPr>
          <w:p>
            <w:r>
              <w:rPr>
                <w:rFonts w:ascii="Arial" w:cs="Arial" w:eastAsia="Arial" w:hAnsi="Arial"/>
                <w:b/>
                <w:bCs/>
                <w:color w:val="FFFFFF"/>
                <w:sz w:val="28"/>
                <w:szCs w:val="28"/>
              </w:rPr>
              <w:t xml:space="preserve">2. PROCESS</w:t>
            </w:r>
          </w:p>
          <w:p>
            <w:pPr>
              <w:spacing w:before="60"/>
            </w:pPr>
            <w:r>
              <w:rPr>
                <w:rFonts w:ascii="Arial" w:cs="Arial" w:eastAsia="Arial" w:hAnsi="Arial"/>
                <w:i/>
                <w:iCs/>
                <w:color w:val="E0E4FF"/>
                <w:sz w:val="22"/>
                <w:szCs w:val="22"/>
              </w:rPr>
              <w:t xml:space="preserve">Improving internal and customer-facing processes through AI and agentic automation.</w:t>
            </w:r>
          </w:p>
        </w:tc>
      </w:tr>
      <w:tr>
        <w:tc>
          <w:tcPr>
            <w:tcW w:type="dxa" w:w="9360"/>
            <w:tcBorders>
              <w:top w:val="none" w:sz="0"/>
              <w:left w:val="none" w:sz="0"/>
              <w:bottom w:val="none" w:sz="0"/>
              <w:right w:val="none" w:sz="0"/>
            </w:tcBorders>
            <w:shd w:fill="F0F2FF" w:val="clear"/>
            <w:tcMar>
              <w:top w:type="dxa" w:w="150"/>
              <w:left w:type="dxa" w:w="200"/>
              <w:bottom w:type="dxa" w:w="150"/>
              <w:right w:type="dxa" w:w="200"/>
            </w:tcMar>
          </w:tcPr>
          <w:p>
            <w:pPr>
              <w:spacing w:after="120"/>
            </w:pPr>
            <w:r>
              <w:rPr>
                <w:rFonts w:ascii="Arial" w:cs="Arial" w:eastAsia="Arial" w:hAnsi="Arial"/>
                <w:color w:val="333333"/>
                <w:sz w:val="22"/>
                <w:szCs w:val="22"/>
              </w:rPr>
              <w:t xml:space="preserve">The Process pillar is anchored in two outcomes: better customer experience and better colleague experience. It covers the discovery, design, and deployment of AI-driven process improvements — from intelligent document processing to end-to-end agentic orchestration of complex workflows. The focus is not just efficiency; it’s about making processes feel better for the people on both sides of them.</w:t>
            </w:r>
          </w:p>
          <w:p>
            <w:pPr>
              <w:pStyle w:val="ListParagraph"/>
              <w:numPr>
                <w:ilvl w:val="0"/>
                <w:numId w:val="2"/>
              </w:numPr>
              <w:spacing w:before="40" w:after="40"/>
            </w:pPr>
            <w:r>
              <w:rPr>
                <w:rFonts w:ascii="Arial" w:cs="Arial" w:eastAsia="Arial" w:hAnsi="Arial"/>
                <w:color w:val="333333"/>
                <w:sz w:val="21"/>
                <w:szCs w:val="21"/>
              </w:rPr>
              <w:t xml:space="preserve">Process discovery and automation opportunity identification</w:t>
            </w:r>
          </w:p>
          <w:p>
            <w:pPr>
              <w:pStyle w:val="ListParagraph"/>
              <w:numPr>
                <w:ilvl w:val="0"/>
                <w:numId w:val="2"/>
              </w:numPr>
              <w:spacing w:before="40" w:after="40"/>
            </w:pPr>
            <w:r>
              <w:rPr>
                <w:rFonts w:ascii="Arial" w:cs="Arial" w:eastAsia="Arial" w:hAnsi="Arial"/>
                <w:color w:val="333333"/>
                <w:sz w:val="21"/>
                <w:szCs w:val="21"/>
              </w:rPr>
              <w:t xml:space="preserve">Customer experience transformation through AI-powered journeys</w:t>
            </w:r>
          </w:p>
          <w:p>
            <w:pPr>
              <w:pStyle w:val="ListParagraph"/>
              <w:numPr>
                <w:ilvl w:val="0"/>
                <w:numId w:val="2"/>
              </w:numPr>
              <w:spacing w:before="40" w:after="40"/>
            </w:pPr>
            <w:r>
              <w:rPr>
                <w:rFonts w:ascii="Arial" w:cs="Arial" w:eastAsia="Arial" w:hAnsi="Arial"/>
                <w:color w:val="333333"/>
                <w:sz w:val="21"/>
                <w:szCs w:val="21"/>
              </w:rPr>
              <w:t xml:space="preserve">Colleague experience improvement — removing friction, not just cost</w:t>
            </w:r>
          </w:p>
          <w:p>
            <w:pPr>
              <w:pStyle w:val="ListParagraph"/>
              <w:numPr>
                <w:ilvl w:val="0"/>
                <w:numId w:val="2"/>
              </w:numPr>
              <w:spacing w:before="40" w:after="40"/>
            </w:pPr>
            <w:r>
              <w:rPr>
                <w:rFonts w:ascii="Arial" w:cs="Arial" w:eastAsia="Arial" w:hAnsi="Arial"/>
                <w:color w:val="333333"/>
                <w:sz w:val="21"/>
                <w:szCs w:val="21"/>
              </w:rPr>
              <w:t xml:space="preserve">Agentic orchestration of multi-step, cross-functional processes</w:t>
            </w:r>
          </w:p>
          <w:p>
            <w:pPr>
              <w:pStyle w:val="ListParagraph"/>
              <w:numPr>
                <w:ilvl w:val="0"/>
                <w:numId w:val="2"/>
              </w:numPr>
              <w:spacing w:before="40" w:after="40"/>
            </w:pPr>
            <w:r>
              <w:rPr>
                <w:rFonts w:ascii="Arial" w:cs="Arial" w:eastAsia="Arial" w:hAnsi="Arial"/>
                <w:color w:val="333333"/>
                <w:sz w:val="21"/>
                <w:szCs w:val="21"/>
              </w:rPr>
              <w:t xml:space="preserve">AI strategy and roadmapping grounded in process impact</w:t>
            </w:r>
          </w:p>
          <w:p>
            <w:pPr>
              <w:pStyle w:val="ListParagraph"/>
              <w:numPr>
                <w:ilvl w:val="0"/>
                <w:numId w:val="2"/>
              </w:numPr>
              <w:spacing w:before="40" w:after="40"/>
            </w:pPr>
            <w:r>
              <w:rPr>
                <w:rFonts w:ascii="Arial" w:cs="Arial" w:eastAsia="Arial" w:hAnsi="Arial"/>
                <w:color w:val="333333"/>
                <w:sz w:val="21"/>
                <w:szCs w:val="21"/>
              </w:rPr>
              <w:t xml:space="preserve">Measurable CX and EX outcomes, not just cycle-time reduction</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A6CF7" w:val="clear"/>
            <w:tcMar>
              <w:top w:type="dxa" w:w="150"/>
              <w:left w:type="dxa" w:w="200"/>
              <w:bottom w:type="dxa" w:w="150"/>
              <w:right w:type="dxa" w:w="200"/>
            </w:tcMar>
          </w:tcPr>
          <w:p>
            <w:r>
              <w:rPr>
                <w:rFonts w:ascii="Arial" w:cs="Arial" w:eastAsia="Arial" w:hAnsi="Arial"/>
                <w:b/>
                <w:bCs/>
                <w:color w:val="FFFFFF"/>
                <w:sz w:val="28"/>
                <w:szCs w:val="28"/>
              </w:rPr>
              <w:t xml:space="preserve">3. PEOPLE</w:t>
            </w:r>
          </w:p>
          <w:p>
            <w:pPr>
              <w:spacing w:before="60"/>
            </w:pPr>
            <w:r>
              <w:rPr>
                <w:rFonts w:ascii="Arial" w:cs="Arial" w:eastAsia="Arial" w:hAnsi="Arial"/>
                <w:i/>
                <w:iCs/>
                <w:color w:val="E0E4FF"/>
                <w:sz w:val="22"/>
                <w:szCs w:val="22"/>
              </w:rPr>
              <w:t xml:space="preserve">Elevating organisational output by imprinting what makes your people unique into scalable AI agents.</w:t>
            </w:r>
          </w:p>
        </w:tc>
      </w:tr>
      <w:tr>
        <w:tc>
          <w:tcPr>
            <w:tcW w:type="dxa" w:w="9360"/>
            <w:tcBorders>
              <w:top w:val="none" w:sz="0"/>
              <w:left w:val="none" w:sz="0"/>
              <w:bottom w:val="none" w:sz="0"/>
              <w:right w:val="none" w:sz="0"/>
            </w:tcBorders>
            <w:shd w:fill="F0F2FF" w:val="clear"/>
            <w:tcMar>
              <w:top w:type="dxa" w:w="150"/>
              <w:left w:type="dxa" w:w="200"/>
              <w:bottom w:type="dxa" w:w="150"/>
              <w:right w:type="dxa" w:w="200"/>
            </w:tcMar>
          </w:tcPr>
          <w:p>
            <w:pPr>
              <w:spacing w:after="120"/>
            </w:pPr>
            <w:r>
              <w:rPr>
                <w:rFonts w:ascii="Arial" w:cs="Arial" w:eastAsia="Arial" w:hAnsi="Arial"/>
                <w:color w:val="333333"/>
                <w:sz w:val="22"/>
                <w:szCs w:val="22"/>
              </w:rPr>
              <w:t xml:space="preserve">This is where Imprint lives and shines. The People pillar is about capturing the expertise, judgment, and distinctive qualities of an organisation’s best people — the things that make an organisation’s output recognisably theirs — and encoding that into AI agents. The result is output that’s more consistent, more scalable, and authentically on-brand, without losing the human qualities that made it valuable in the first place.</w:t>
            </w:r>
          </w:p>
          <w:p>
            <w:pPr>
              <w:pStyle w:val="ListParagraph"/>
              <w:numPr>
                <w:ilvl w:val="0"/>
                <w:numId w:val="2"/>
              </w:numPr>
              <w:spacing w:before="40" w:after="40"/>
            </w:pPr>
            <w:r>
              <w:rPr>
                <w:rFonts w:ascii="Arial" w:cs="Arial" w:eastAsia="Arial" w:hAnsi="Arial"/>
                <w:color w:val="333333"/>
                <w:sz w:val="21"/>
                <w:szCs w:val="21"/>
              </w:rPr>
              <w:t xml:space="preserve">Imprint framework: encoding subject-matter expertise into AI agents</w:t>
            </w:r>
          </w:p>
          <w:p>
            <w:pPr>
              <w:pStyle w:val="ListParagraph"/>
              <w:numPr>
                <w:ilvl w:val="0"/>
                <w:numId w:val="2"/>
              </w:numPr>
              <w:spacing w:before="40" w:after="40"/>
            </w:pPr>
            <w:r>
              <w:rPr>
                <w:rFonts w:ascii="Arial" w:cs="Arial" w:eastAsia="Arial" w:hAnsi="Arial"/>
                <w:color w:val="333333"/>
                <w:sz w:val="21"/>
                <w:szCs w:val="21"/>
              </w:rPr>
              <w:t xml:space="preserve">Capturing organisational “voice” — tone, standards, methodology, judgment</w:t>
            </w:r>
          </w:p>
          <w:p>
            <w:pPr>
              <w:pStyle w:val="ListParagraph"/>
              <w:numPr>
                <w:ilvl w:val="0"/>
                <w:numId w:val="2"/>
              </w:numPr>
              <w:spacing w:before="40" w:after="40"/>
            </w:pPr>
            <w:r>
              <w:rPr>
                <w:rFonts w:ascii="Arial" w:cs="Arial" w:eastAsia="Arial" w:hAnsi="Arial"/>
                <w:color w:val="333333"/>
                <w:sz w:val="21"/>
                <w:szCs w:val="21"/>
              </w:rPr>
              <w:t xml:space="preserve">Scaling the best of your people without scaling headcount</w:t>
            </w:r>
          </w:p>
          <w:p>
            <w:pPr>
              <w:pStyle w:val="ListParagraph"/>
              <w:numPr>
                <w:ilvl w:val="0"/>
                <w:numId w:val="2"/>
              </w:numPr>
              <w:spacing w:before="40" w:after="40"/>
            </w:pPr>
            <w:r>
              <w:rPr>
                <w:rFonts w:ascii="Arial" w:cs="Arial" w:eastAsia="Arial" w:hAnsi="Arial"/>
                <w:color w:val="333333"/>
                <w:sz w:val="21"/>
                <w:szCs w:val="21"/>
              </w:rPr>
              <w:t xml:space="preserve">Consistent, on-brand output across teams, geographies, and languages</w:t>
            </w:r>
          </w:p>
          <w:p>
            <w:pPr>
              <w:pStyle w:val="ListParagraph"/>
              <w:numPr>
                <w:ilvl w:val="0"/>
                <w:numId w:val="2"/>
              </w:numPr>
              <w:spacing w:before="40" w:after="40"/>
            </w:pPr>
            <w:r>
              <w:rPr>
                <w:rFonts w:ascii="Arial" w:cs="Arial" w:eastAsia="Arial" w:hAnsi="Arial"/>
                <w:color w:val="333333"/>
                <w:sz w:val="21"/>
                <w:szCs w:val="21"/>
              </w:rPr>
              <w:t xml:space="preserve">Knowledge preservation and institutional memory at scale</w:t>
            </w:r>
          </w:p>
          <w:p>
            <w:pPr>
              <w:pStyle w:val="ListParagraph"/>
              <w:numPr>
                <w:ilvl w:val="0"/>
                <w:numId w:val="2"/>
              </w:numPr>
              <w:spacing w:before="40" w:after="40"/>
            </w:pPr>
            <w:r>
              <w:rPr>
                <w:rFonts w:ascii="Arial" w:cs="Arial" w:eastAsia="Arial" w:hAnsi="Arial"/>
                <w:color w:val="333333"/>
                <w:sz w:val="21"/>
                <w:szCs w:val="21"/>
              </w:rPr>
              <w:t xml:space="preserve">Agent-to-agent coordination through shared playbooks</w:t>
            </w:r>
          </w:p>
        </w:tc>
      </w:tr>
    </w:tbl>
    <w:p>
      <w:r>
        <w:br w:type="page"/>
      </w:r>
    </w:p>
    <w:p>
      <w:pPr>
        <w:pStyle w:val="Heading1"/>
        <w:spacing w:before="360" w:after="200"/>
      </w:pPr>
      <w:r>
        <w:rPr>
          <w:rFonts w:ascii="Arial" w:cs="Arial" w:eastAsia="Arial" w:hAnsi="Arial"/>
          <w:b/>
          <w:bCs/>
          <w:color w:val="1A1A2E"/>
          <w:sz w:val="36"/>
          <w:szCs w:val="36"/>
        </w:rPr>
        <w:t xml:space="preserve">Imprint’s Evolved Role</w:t>
      </w:r>
    </w:p>
    <w:p>
      <w:pPr>
        <w:pBdr>
          <w:bottom w:val="single" w:color="4A6CF7" w:sz="4" w:space="1"/>
        </w:pBdr>
        <w:spacing w:after="200"/>
      </w:pPr>
    </w:p>
    <w:p>
      <w:pPr>
        <w:spacing w:before="80" w:after="80" w:line="300"/>
      </w:pPr>
      <w:r>
        <w:rPr>
          <w:rFonts w:ascii="Arial" w:cs="Arial" w:eastAsia="Arial" w:hAnsi="Arial"/>
          <w:color w:val="333333"/>
          <w:sz w:val="22"/>
          <w:szCs w:val="22"/>
        </w:rPr>
        <w:t xml:space="preserve">In the current positioning, Imprint is a standalone product — one of four offerings. In the new framework, Imprint becomes something more powerful: the methodology and technology that underpins the People pillar and extends into the other two.</w:t>
      </w:r>
    </w:p>
    <w:p>
      <w:pPr>
        <w:spacing w:before="100" w:after="100"/>
      </w:pPr>
    </w:p>
    <w:p>
      <w:pPr>
        <w:spacing w:before="200" w:after="120"/>
      </w:pPr>
      <w:r>
        <w:rPr>
          <w:rFonts w:ascii="Arial" w:cs="Arial" w:eastAsia="Arial" w:hAnsi="Arial"/>
          <w:b/>
          <w:bCs/>
          <w:color w:val="1A1A2E"/>
          <w:sz w:val="24"/>
          <w:szCs w:val="24"/>
        </w:rPr>
        <w:t xml:space="preserve">Imprint in the People Pillar</w:t>
      </w:r>
    </w:p>
    <w:p>
      <w:pPr>
        <w:spacing w:before="80" w:after="80" w:line="300"/>
      </w:pPr>
      <w:r>
        <w:rPr>
          <w:rFonts w:ascii="Arial" w:cs="Arial" w:eastAsia="Arial" w:hAnsi="Arial"/>
          <w:color w:val="333333"/>
          <w:sz w:val="22"/>
          <w:szCs w:val="22"/>
        </w:rPr>
        <w:t xml:space="preserve">This is Imprint’s natural home. It’s the engine that captures expertise and encodes it into agents. The People pillar gives Imprint a clearer narrative: it’s not just “AI that works like your best people” — it’s “AI that preserves and scales what makes your organisation unique.”</w:t>
      </w:r>
    </w:p>
    <w:p>
      <w:pPr>
        <w:spacing w:before="200" w:after="120"/>
      </w:pPr>
      <w:r>
        <w:rPr>
          <w:rFonts w:ascii="Arial" w:cs="Arial" w:eastAsia="Arial" w:hAnsi="Arial"/>
          <w:b/>
          <w:bCs/>
          <w:color w:val="1A1A2E"/>
          <w:sz w:val="24"/>
          <w:szCs w:val="24"/>
        </w:rPr>
        <w:t xml:space="preserve">Imprint in the Process Pillar</w:t>
      </w:r>
    </w:p>
    <w:p>
      <w:pPr>
        <w:spacing w:before="80" w:after="80" w:line="300"/>
      </w:pPr>
      <w:r>
        <w:rPr>
          <w:rFonts w:ascii="Arial" w:cs="Arial" w:eastAsia="Arial" w:hAnsi="Arial"/>
          <w:color w:val="333333"/>
          <w:sz w:val="22"/>
          <w:szCs w:val="22"/>
        </w:rPr>
        <w:t xml:space="preserve">Agents built on Imprint don’t just automate tasks — they automate tasks the way your best people would do them. This is a differentiator in process automation: most RPA and automation tools replicate the process as-is. Imprint-powered process agents replicate the judgment and quality standards of your top performers.</w:t>
      </w:r>
    </w:p>
    <w:p>
      <w:pPr>
        <w:spacing w:before="200" w:after="120"/>
      </w:pPr>
      <w:r>
        <w:rPr>
          <w:rFonts w:ascii="Arial" w:cs="Arial" w:eastAsia="Arial" w:hAnsi="Arial"/>
          <w:b/>
          <w:bCs/>
          <w:color w:val="1A1A2E"/>
          <w:sz w:val="24"/>
          <w:szCs w:val="24"/>
        </w:rPr>
        <w:t xml:space="preserve">Imprint in the Product Pillar</w:t>
      </w:r>
    </w:p>
    <w:p>
      <w:pPr>
        <w:spacing w:before="80" w:after="80" w:line="300"/>
      </w:pPr>
      <w:r>
        <w:rPr>
          <w:rFonts w:ascii="Arial" w:cs="Arial" w:eastAsia="Arial" w:hAnsi="Arial"/>
          <w:color w:val="333333"/>
          <w:sz w:val="22"/>
          <w:szCs w:val="22"/>
        </w:rPr>
        <w:t xml:space="preserve">When clients build AI-powered products, Imprint can encode domain expertise into the product logic itself. A consulting firm building an AI-powered advisory tool isn’t just deploying a chatbot — it’s deploying their methodology, their frameworks, their way of thinking.</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EBFF" w:val="clear"/>
            <w:tcMar>
              <w:top w:type="dxa" w:w="200"/>
              <w:left w:type="dxa" w:w="300"/>
              <w:bottom w:type="dxa" w:w="200"/>
              <w:right w:type="dxa" w:w="300"/>
            </w:tcMar>
          </w:tcPr>
          <w:p>
            <w:r>
              <w:rPr>
                <w:rFonts w:ascii="Arial" w:cs="Arial" w:eastAsia="Arial" w:hAnsi="Arial"/>
                <w:b/>
                <w:bCs/>
                <w:color w:val="4A6CF7"/>
                <w:sz w:val="24"/>
                <w:szCs w:val="24"/>
              </w:rPr>
              <w:t xml:space="preserve">Key Strategic Insight</w:t>
            </w:r>
          </w:p>
          <w:p>
            <w:pPr>
              <w:spacing w:before="100"/>
            </w:pPr>
            <w:r>
              <w:rPr>
                <w:rFonts w:ascii="Arial" w:cs="Arial" w:eastAsia="Arial" w:hAnsi="Arial"/>
                <w:color w:val="333333"/>
                <w:sz w:val="22"/>
                <w:szCs w:val="22"/>
              </w:rPr>
              <w:t xml:space="preserve">Imprint moves from being “a product you buy” to being “the way we work.” This makes it stickier, harder to compare to competitors, and positions it as a methodology rather than a tool. Buyers don’t switch methodologies easily.</w:t>
            </w:r>
          </w:p>
        </w:tc>
      </w:tr>
    </w:tbl>
    <w:p>
      <w:r>
        <w:br w:type="page"/>
      </w:r>
    </w:p>
    <w:p>
      <w:pPr>
        <w:pStyle w:val="Heading1"/>
        <w:spacing w:before="360" w:after="200"/>
      </w:pPr>
      <w:r>
        <w:rPr>
          <w:rFonts w:ascii="Arial" w:cs="Arial" w:eastAsia="Arial" w:hAnsi="Arial"/>
          <w:b/>
          <w:bCs/>
          <w:color w:val="1A1A2E"/>
          <w:sz w:val="36"/>
          <w:szCs w:val="36"/>
        </w:rPr>
        <w:t xml:space="preserve">Recommended Website Changes</w:t>
      </w:r>
    </w:p>
    <w:p>
      <w:pPr>
        <w:pBdr>
          <w:bottom w:val="single" w:color="4A6CF7" w:sz="4" w:space="1"/>
        </w:pBdr>
        <w:spacing w:after="200"/>
      </w:pPr>
    </w:p>
    <w:p>
      <w:pPr>
        <w:pStyle w:val="Heading2"/>
        <w:spacing w:before="280" w:after="160"/>
      </w:pPr>
      <w:r>
        <w:rPr>
          <w:rFonts w:ascii="Arial" w:cs="Arial" w:eastAsia="Arial" w:hAnsi="Arial"/>
          <w:b/>
          <w:bCs/>
          <w:color w:val="4A6CF7"/>
          <w:sz w:val="28"/>
          <w:szCs w:val="28"/>
        </w:rPr>
        <w:t xml:space="preserve">Navigation &amp; Structure</w:t>
      </w:r>
    </w:p>
    <w:p>
      <w:pPr>
        <w:pStyle w:val="ListParagraph"/>
        <w:numPr>
          <w:ilvl w:val="0"/>
          <w:numId w:val="3"/>
        </w:numPr>
        <w:spacing w:before="60" w:after="60" w:line="280"/>
      </w:pPr>
      <w:r>
        <w:rPr>
          <w:rFonts w:ascii="Arial" w:cs="Arial" w:eastAsia="Arial" w:hAnsi="Arial"/>
          <w:color w:val="333333"/>
          <w:sz w:val="22"/>
          <w:szCs w:val="22"/>
        </w:rPr>
        <w:t xml:space="preserve">Replace the four offerings in the nav with the three pillars: Product, Process, People</w:t>
      </w:r>
    </w:p>
    <w:p>
      <w:pPr>
        <w:pStyle w:val="ListParagraph"/>
        <w:numPr>
          <w:ilvl w:val="0"/>
          <w:numId w:val="3"/>
        </w:numPr>
        <w:spacing w:before="60" w:after="60" w:line="280"/>
      </w:pPr>
      <w:r>
        <w:rPr>
          <w:rFonts w:ascii="Arial" w:cs="Arial" w:eastAsia="Arial" w:hAnsi="Arial"/>
          <w:color w:val="333333"/>
          <w:sz w:val="22"/>
          <w:szCs w:val="22"/>
        </w:rPr>
        <w:t xml:space="preserve">Keep “Imprint” as a dedicated sub-page or section under People, but also reference it as a methodology across all three</w:t>
      </w:r>
    </w:p>
    <w:p>
      <w:pPr>
        <w:pStyle w:val="ListParagraph"/>
        <w:numPr>
          <w:ilvl w:val="0"/>
          <w:numId w:val="3"/>
        </w:numPr>
        <w:spacing w:before="60" w:after="60" w:line="280"/>
      </w:pPr>
      <w:r>
        <w:rPr>
          <w:rFonts w:ascii="Arial" w:cs="Arial" w:eastAsia="Arial" w:hAnsi="Arial"/>
          <w:color w:val="333333"/>
          <w:sz w:val="22"/>
          <w:szCs w:val="22"/>
        </w:rPr>
        <w:t xml:space="preserve">Keep the Engagement Model page largely intact — it works well as-is</w:t>
      </w:r>
    </w:p>
    <w:p>
      <w:pPr>
        <w:pStyle w:val="ListParagraph"/>
        <w:numPr>
          <w:ilvl w:val="0"/>
          <w:numId w:val="3"/>
        </w:numPr>
        <w:spacing w:before="60" w:after="60" w:line="280"/>
      </w:pPr>
      <w:r>
        <w:rPr>
          <w:rFonts w:ascii="Arial" w:cs="Arial" w:eastAsia="Arial" w:hAnsi="Arial"/>
          <w:color w:val="333333"/>
          <w:sz w:val="22"/>
          <w:szCs w:val="22"/>
        </w:rPr>
        <w:t xml:space="preserve">Add a clear “Our Approach” or “How We Think” section that introduces the three-pillar framework before diving into specifics</w:t>
      </w:r>
    </w:p>
    <w:p>
      <w:pPr>
        <w:pStyle w:val="Heading2"/>
        <w:spacing w:before="280" w:after="160"/>
      </w:pPr>
      <w:r>
        <w:rPr>
          <w:rFonts w:ascii="Arial" w:cs="Arial" w:eastAsia="Arial" w:hAnsi="Arial"/>
          <w:b/>
          <w:bCs/>
          <w:color w:val="4A6CF7"/>
          <w:sz w:val="28"/>
          <w:szCs w:val="28"/>
        </w:rPr>
        <w:t xml:space="preserve">Hero Messaging</w:t>
      </w:r>
    </w:p>
    <w:p>
      <w:pPr>
        <w:spacing w:before="80" w:after="80" w:line="300"/>
      </w:pPr>
      <w:r>
        <w:rPr>
          <w:rFonts w:ascii="Arial" w:cs="Arial" w:eastAsia="Arial" w:hAnsi="Arial"/>
          <w:color w:val="333333"/>
          <w:sz w:val="22"/>
          <w:szCs w:val="22"/>
        </w:rPr>
        <w:t xml:space="preserve">Current hero: “Your Best People. Working at Scale. Around the Clock.”</w:t>
      </w:r>
    </w:p>
    <w:p>
      <w:pPr>
        <w:spacing w:before="80" w:after="80" w:line="300"/>
      </w:pPr>
      <w:r>
        <w:rPr>
          <w:rFonts w:ascii="Arial" w:cs="Arial" w:eastAsia="Arial" w:hAnsi="Arial"/>
          <w:i/>
          <w:iCs/>
          <w:color w:val="333333"/>
          <w:sz w:val="22"/>
          <w:szCs w:val="22"/>
        </w:rPr>
        <w:t xml:space="preserve">This is strong but it only speaks to the People pillar. Suggested alternatives that span all three:</w:t>
      </w:r>
    </w:p>
    <w:p>
      <w:pPr>
        <w:spacing w:before="50" w:after="50"/>
      </w:pPr>
    </w:p>
    <w:p>
      <w:pPr>
        <w:pStyle w:val="ListParagraph"/>
        <w:numPr>
          <w:ilvl w:val="0"/>
          <w:numId w:val="3"/>
        </w:numPr>
        <w:spacing w:before="60" w:after="60" w:line="280"/>
      </w:pPr>
      <w:r>
        <w:rPr>
          <w:rFonts w:ascii="Arial" w:cs="Arial" w:eastAsia="Arial" w:hAnsi="Arial"/>
          <w:b/>
          <w:bCs/>
          <w:color w:val="333333"/>
          <w:sz w:val="22"/>
          <w:szCs w:val="22"/>
        </w:rPr>
        <w:t xml:space="preserve">Option A: </w:t>
      </w:r>
      <w:r>
        <w:rPr>
          <w:rFonts w:ascii="Arial" w:cs="Arial" w:eastAsia="Arial" w:hAnsi="Arial"/>
          <w:color w:val="333333"/>
          <w:sz w:val="22"/>
          <w:szCs w:val="22"/>
        </w:rPr>
        <w:t xml:space="preserve">“Smarter Products. Better Processes. Your Best People — at Scale.”</w:t>
      </w:r>
    </w:p>
    <w:p>
      <w:pPr>
        <w:pStyle w:val="ListParagraph"/>
        <w:numPr>
          <w:ilvl w:val="0"/>
          <w:numId w:val="3"/>
        </w:numPr>
        <w:spacing w:before="60" w:after="60" w:line="280"/>
      </w:pPr>
      <w:r>
        <w:rPr>
          <w:rFonts w:ascii="Arial" w:cs="Arial" w:eastAsia="Arial" w:hAnsi="Arial"/>
          <w:b/>
          <w:bCs/>
          <w:color w:val="333333"/>
          <w:sz w:val="22"/>
          <w:szCs w:val="22"/>
        </w:rPr>
        <w:t xml:space="preserve">Option B: </w:t>
      </w:r>
      <w:r>
        <w:rPr>
          <w:rFonts w:ascii="Arial" w:cs="Arial" w:eastAsia="Arial" w:hAnsi="Arial"/>
          <w:color w:val="333333"/>
          <w:sz w:val="22"/>
          <w:szCs w:val="22"/>
        </w:rPr>
        <w:t xml:space="preserve">“AI that transforms what you build, how you operate, and how your people perform.”</w:t>
      </w:r>
    </w:p>
    <w:p>
      <w:pPr>
        <w:pStyle w:val="ListParagraph"/>
        <w:numPr>
          <w:ilvl w:val="0"/>
          <w:numId w:val="3"/>
        </w:numPr>
        <w:spacing w:before="60" w:after="60" w:line="280"/>
      </w:pPr>
      <w:r>
        <w:rPr>
          <w:rFonts w:ascii="Arial" w:cs="Arial" w:eastAsia="Arial" w:hAnsi="Arial"/>
          <w:b/>
          <w:bCs/>
          <w:color w:val="333333"/>
          <w:sz w:val="22"/>
          <w:szCs w:val="22"/>
        </w:rPr>
        <w:t xml:space="preserve">Option C: </w:t>
      </w:r>
      <w:r>
        <w:rPr>
          <w:rFonts w:ascii="Arial" w:cs="Arial" w:eastAsia="Arial" w:hAnsi="Arial"/>
          <w:color w:val="333333"/>
          <w:sz w:val="22"/>
          <w:szCs w:val="22"/>
        </w:rPr>
        <w:t xml:space="preserve">“Product. Process. People. Three pillars. One agentic edge.”</w:t>
      </w:r>
    </w:p>
    <w:p>
      <w:pPr>
        <w:pStyle w:val="Heading2"/>
        <w:spacing w:before="280" w:after="160"/>
      </w:pPr>
      <w:r>
        <w:rPr>
          <w:rFonts w:ascii="Arial" w:cs="Arial" w:eastAsia="Arial" w:hAnsi="Arial"/>
          <w:b/>
          <w:bCs/>
          <w:color w:val="4A6CF7"/>
          <w:sz w:val="28"/>
          <w:szCs w:val="28"/>
        </w:rPr>
        <w:t xml:space="preserve">Industry Verticals Section</w:t>
      </w:r>
    </w:p>
    <w:p>
      <w:pPr>
        <w:spacing w:before="80" w:after="80" w:line="300"/>
      </w:pPr>
      <w:r>
        <w:rPr>
          <w:rFonts w:ascii="Arial" w:cs="Arial" w:eastAsia="Arial" w:hAnsi="Arial"/>
          <w:color w:val="333333"/>
          <w:sz w:val="22"/>
          <w:szCs w:val="22"/>
        </w:rPr>
        <w:t xml:space="preserve">The industries section is good content but should be restructured. Instead of listing capabilities by industry, organise the use cases under the relevant pillar for each industry. This lets buyers self-identify by both industry AND problem type.</w:t>
      </w:r>
    </w:p>
    <w:p>
      <w:pPr>
        <w:pStyle w:val="Heading2"/>
        <w:spacing w:before="280" w:after="160"/>
      </w:pPr>
      <w:r>
        <w:rPr>
          <w:rFonts w:ascii="Arial" w:cs="Arial" w:eastAsia="Arial" w:hAnsi="Arial"/>
          <w:b/>
          <w:bCs/>
          <w:color w:val="4A6CF7"/>
          <w:sz w:val="28"/>
          <w:szCs w:val="28"/>
        </w:rPr>
        <w:t xml:space="preserve">Stats &amp; Proof Points</w:t>
      </w:r>
    </w:p>
    <w:p>
      <w:pPr>
        <w:spacing w:before="80" w:after="80" w:line="300"/>
      </w:pPr>
      <w:r>
        <w:rPr>
          <w:rFonts w:ascii="Arial" w:cs="Arial" w:eastAsia="Arial" w:hAnsi="Arial"/>
          <w:color w:val="333333"/>
          <w:sz w:val="22"/>
          <w:szCs w:val="22"/>
        </w:rPr>
        <w:t xml:space="preserve">The current stats (+340% revenue uplift, 14-day deployment, 92% ROI in 90 days) are punchy but skew toward People/Imprint. Add proof points for Product and Process:</w:t>
      </w:r>
    </w:p>
    <w:p>
      <w:pPr>
        <w:pStyle w:val="ListParagraph"/>
        <w:numPr>
          <w:ilvl w:val="0"/>
          <w:numId w:val="3"/>
        </w:numPr>
        <w:spacing w:before="60" w:after="60" w:line="280"/>
      </w:pPr>
      <w:r>
        <w:rPr>
          <w:rFonts w:ascii="Arial" w:cs="Arial" w:eastAsia="Arial" w:hAnsi="Arial"/>
          <w:color w:val="333333"/>
          <w:sz w:val="22"/>
          <w:szCs w:val="22"/>
        </w:rPr>
        <w:t xml:space="preserve">Product: time-to-market acceleration, AI capability adoption rates</w:t>
      </w:r>
    </w:p>
    <w:p>
      <w:pPr>
        <w:pStyle w:val="ListParagraph"/>
        <w:numPr>
          <w:ilvl w:val="0"/>
          <w:numId w:val="3"/>
        </w:numPr>
        <w:spacing w:before="60" w:after="60" w:line="280"/>
      </w:pPr>
      <w:r>
        <w:rPr>
          <w:rFonts w:ascii="Arial" w:cs="Arial" w:eastAsia="Arial" w:hAnsi="Arial"/>
          <w:color w:val="333333"/>
          <w:sz w:val="22"/>
          <w:szCs w:val="22"/>
        </w:rPr>
        <w:t xml:space="preserve">Process: CX improvement metrics (NPS lift, resolution time), colleague satisfaction or time-saved metrics</w:t>
      </w:r>
    </w:p>
    <w:p>
      <w:pPr>
        <w:pStyle w:val="ListParagraph"/>
        <w:numPr>
          <w:ilvl w:val="0"/>
          <w:numId w:val="3"/>
        </w:numPr>
        <w:spacing w:before="60" w:after="60" w:line="280"/>
      </w:pPr>
      <w:r>
        <w:rPr>
          <w:rFonts w:ascii="Arial" w:cs="Arial" w:eastAsia="Arial" w:hAnsi="Arial"/>
          <w:color w:val="333333"/>
          <w:sz w:val="22"/>
          <w:szCs w:val="22"/>
        </w:rPr>
        <w:t xml:space="preserve">People: keep existing Imprint metrics — they’re strong</w:t>
      </w:r>
    </w:p>
    <w:p>
      <w:r>
        <w:br w:type="page"/>
      </w:r>
    </w:p>
    <w:p>
      <w:pPr>
        <w:pStyle w:val="Heading1"/>
        <w:spacing w:before="360" w:after="200"/>
      </w:pPr>
      <w:r>
        <w:rPr>
          <w:rFonts w:ascii="Arial" w:cs="Arial" w:eastAsia="Arial" w:hAnsi="Arial"/>
          <w:b/>
          <w:bCs/>
          <w:color w:val="1A1A2E"/>
          <w:sz w:val="36"/>
          <w:szCs w:val="36"/>
        </w:rPr>
        <w:t xml:space="preserve">Pillar Messaging Framework</w:t>
      </w:r>
    </w:p>
    <w:p>
      <w:pPr>
        <w:pBdr>
          <w:bottom w:val="single" w:color="4A6CF7" w:sz="4" w:space="1"/>
        </w:pBdr>
        <w:spacing w:after="200"/>
      </w:pPr>
    </w:p>
    <w:p>
      <w:pPr>
        <w:spacing w:before="80" w:after="80" w:line="300"/>
      </w:pPr>
      <w:r>
        <w:rPr>
          <w:rFonts w:ascii="Arial" w:cs="Arial" w:eastAsia="Arial" w:hAnsi="Arial"/>
          <w:color w:val="333333"/>
          <w:sz w:val="22"/>
          <w:szCs w:val="22"/>
        </w:rPr>
        <w:t xml:space="preserve">Below is a messaging framework for each pillar — covering the buyer question it answers, the one-line pitch, and the key differentiator.</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shd w:fill="4A6CF7" w:val="clear"/>
            <w:tcMar>
              <w:top w:type="dxa" w:w="100"/>
              <w:left w:type="dxa" w:w="150"/>
              <w:bottom w:type="dxa" w:w="100"/>
              <w:right w:type="dxa" w:w="150"/>
            </w:tcMar>
            <w:vAlign w:val="center"/>
          </w:tcPr>
          <w:p>
            <w:r>
              <w:rPr>
                <w:rFonts w:ascii="Arial" w:cs="Arial" w:eastAsia="Arial" w:hAnsi="Arial"/>
                <w:b/>
                <w:bCs/>
                <w:color w:val="FFFFFF"/>
                <w:sz w:val="26"/>
                <w:szCs w:val="26"/>
              </w:rPr>
              <w:t xml:space="preserve">PRODUCT</w:t>
            </w:r>
          </w:p>
        </w:tc>
        <w:tc>
          <w:tcPr>
            <w:tcW w:type="dxa" w:w="6560"/>
            <w:tcBorders>
              <w:top w:val="none" w:sz="0"/>
              <w:left w:val="none" w:sz="0"/>
              <w:bottom w:val="none" w:sz="0"/>
              <w:right w:val="none" w:sz="0"/>
            </w:tcBorders>
            <w:shd w:fill="F0F2FF" w:val="clear"/>
            <w:tcMar>
              <w:top w:type="dxa" w:w="100"/>
              <w:left w:type="dxa" w:w="150"/>
              <w:bottom w:type="dxa" w:w="100"/>
              <w:right w:type="dxa" w:w="150"/>
            </w:tcMar>
          </w:tcPr>
          <w:p>
            <w:pPr>
              <w:spacing w:before="80" w:after="80" w:line="300"/>
            </w:pPr>
            <w:r>
              <w:rPr>
                <w:rFonts w:ascii="Arial" w:cs="Arial" w:eastAsia="Arial" w:hAnsi="Arial"/>
                <w:b/>
                <w:bCs/>
                <w:color w:val="333333"/>
                <w:sz w:val="22"/>
                <w:szCs w:val="22"/>
              </w:rPr>
              <w:t xml:space="preserve">Buyer question: </w:t>
            </w:r>
            <w:r>
              <w:rPr>
                <w:rFonts w:ascii="Arial" w:cs="Arial" w:eastAsia="Arial" w:hAnsi="Arial"/>
                <w:color w:val="333333"/>
                <w:sz w:val="22"/>
                <w:szCs w:val="22"/>
              </w:rPr>
              <w:t xml:space="preserve">“How do we build AI into our products without over-engineering or under-investing?”</w:t>
            </w:r>
          </w:p>
          <w:p>
            <w:pPr>
              <w:spacing w:before="80" w:after="80" w:line="300"/>
            </w:pPr>
            <w:r>
              <w:rPr>
                <w:rFonts w:ascii="Arial" w:cs="Arial" w:eastAsia="Arial" w:hAnsi="Arial"/>
                <w:b/>
                <w:bCs/>
                <w:color w:val="333333"/>
                <w:sz w:val="22"/>
                <w:szCs w:val="22"/>
              </w:rPr>
              <w:t xml:space="preserve">Pitch: </w:t>
            </w:r>
            <w:r>
              <w:rPr>
                <w:rFonts w:ascii="Arial" w:cs="Arial" w:eastAsia="Arial" w:hAnsi="Arial"/>
                <w:color w:val="333333"/>
                <w:sz w:val="22"/>
                <w:szCs w:val="22"/>
              </w:rPr>
              <w:t xml:space="preserve">We help you find the right level of AI for your product — so you ship faster, spend smarter, and stay ahead.</w:t>
            </w:r>
          </w:p>
          <w:p>
            <w:pPr>
              <w:spacing w:before="80" w:after="80" w:line="300"/>
            </w:pPr>
            <w:r>
              <w:rPr>
                <w:rFonts w:ascii="Arial" w:cs="Arial" w:eastAsia="Arial" w:hAnsi="Arial"/>
                <w:b/>
                <w:bCs/>
                <w:color w:val="333333"/>
                <w:sz w:val="22"/>
                <w:szCs w:val="22"/>
              </w:rPr>
              <w:t xml:space="preserve">Differentiator: </w:t>
            </w:r>
            <w:r>
              <w:rPr>
                <w:rFonts w:ascii="Arial" w:cs="Arial" w:eastAsia="Arial" w:hAnsi="Arial"/>
                <w:color w:val="333333"/>
                <w:sz w:val="22"/>
                <w:szCs w:val="22"/>
              </w:rPr>
              <w:t xml:space="preserve">Right-sized AI, not maximum AI. We match capability to context.</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shd w:fill="4A6CF7" w:val="clear"/>
            <w:tcMar>
              <w:top w:type="dxa" w:w="100"/>
              <w:left w:type="dxa" w:w="150"/>
              <w:bottom w:type="dxa" w:w="100"/>
              <w:right w:type="dxa" w:w="150"/>
            </w:tcMar>
            <w:vAlign w:val="center"/>
          </w:tcPr>
          <w:p>
            <w:r>
              <w:rPr>
                <w:rFonts w:ascii="Arial" w:cs="Arial" w:eastAsia="Arial" w:hAnsi="Arial"/>
                <w:b/>
                <w:bCs/>
                <w:color w:val="FFFFFF"/>
                <w:sz w:val="26"/>
                <w:szCs w:val="26"/>
              </w:rPr>
              <w:t xml:space="preserve">PROCESS</w:t>
            </w:r>
          </w:p>
        </w:tc>
        <w:tc>
          <w:tcPr>
            <w:tcW w:type="dxa" w:w="6560"/>
            <w:tcBorders>
              <w:top w:val="none" w:sz="0"/>
              <w:left w:val="none" w:sz="0"/>
              <w:bottom w:val="none" w:sz="0"/>
              <w:right w:val="none" w:sz="0"/>
            </w:tcBorders>
            <w:shd w:fill="F0F2FF" w:val="clear"/>
            <w:tcMar>
              <w:top w:type="dxa" w:w="100"/>
              <w:left w:type="dxa" w:w="150"/>
              <w:bottom w:type="dxa" w:w="100"/>
              <w:right w:type="dxa" w:w="150"/>
            </w:tcMar>
          </w:tcPr>
          <w:p>
            <w:pPr>
              <w:spacing w:before="80" w:after="80" w:line="300"/>
            </w:pPr>
            <w:r>
              <w:rPr>
                <w:rFonts w:ascii="Arial" w:cs="Arial" w:eastAsia="Arial" w:hAnsi="Arial"/>
                <w:b/>
                <w:bCs/>
                <w:color w:val="333333"/>
                <w:sz w:val="22"/>
                <w:szCs w:val="22"/>
              </w:rPr>
              <w:t xml:space="preserve">Buyer question: </w:t>
            </w:r>
            <w:r>
              <w:rPr>
                <w:rFonts w:ascii="Arial" w:cs="Arial" w:eastAsia="Arial" w:hAnsi="Arial"/>
                <w:color w:val="333333"/>
                <w:sz w:val="22"/>
                <w:szCs w:val="22"/>
              </w:rPr>
              <w:t xml:space="preserve">“How do we make our operations faster and our customer and colleague experiences better?”</w:t>
            </w:r>
          </w:p>
          <w:p>
            <w:pPr>
              <w:spacing w:before="80" w:after="80" w:line="300"/>
            </w:pPr>
            <w:r>
              <w:rPr>
                <w:rFonts w:ascii="Arial" w:cs="Arial" w:eastAsia="Arial" w:hAnsi="Arial"/>
                <w:b/>
                <w:bCs/>
                <w:color w:val="333333"/>
                <w:sz w:val="22"/>
                <w:szCs w:val="22"/>
              </w:rPr>
              <w:t xml:space="preserve">Pitch: </w:t>
            </w:r>
            <w:r>
              <w:rPr>
                <w:rFonts w:ascii="Arial" w:cs="Arial" w:eastAsia="Arial" w:hAnsi="Arial"/>
                <w:color w:val="333333"/>
                <w:sz w:val="22"/>
                <w:szCs w:val="22"/>
              </w:rPr>
              <w:t xml:space="preserve">We redesign your processes around AI and agentic automation — with CX and colleague experience as the north star.</w:t>
            </w:r>
          </w:p>
          <w:p>
            <w:pPr>
              <w:spacing w:before="80" w:after="80" w:line="300"/>
            </w:pPr>
            <w:r>
              <w:rPr>
                <w:rFonts w:ascii="Arial" w:cs="Arial" w:eastAsia="Arial" w:hAnsi="Arial"/>
                <w:b/>
                <w:bCs/>
                <w:color w:val="333333"/>
                <w:sz w:val="22"/>
                <w:szCs w:val="22"/>
              </w:rPr>
              <w:t xml:space="preserve">Differentiator: </w:t>
            </w:r>
            <w:r>
              <w:rPr>
                <w:rFonts w:ascii="Arial" w:cs="Arial" w:eastAsia="Arial" w:hAnsi="Arial"/>
                <w:color w:val="333333"/>
                <w:sz w:val="22"/>
                <w:szCs w:val="22"/>
              </w:rPr>
              <w:t xml:space="preserve">Experience-led, not efficiency-only. Better for customers AND the people who serve them.</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shd w:fill="4A6CF7" w:val="clear"/>
            <w:tcMar>
              <w:top w:type="dxa" w:w="100"/>
              <w:left w:type="dxa" w:w="150"/>
              <w:bottom w:type="dxa" w:w="100"/>
              <w:right w:type="dxa" w:w="150"/>
            </w:tcMar>
            <w:vAlign w:val="center"/>
          </w:tcPr>
          <w:p>
            <w:r>
              <w:rPr>
                <w:rFonts w:ascii="Arial" w:cs="Arial" w:eastAsia="Arial" w:hAnsi="Arial"/>
                <w:b/>
                <w:bCs/>
                <w:color w:val="FFFFFF"/>
                <w:sz w:val="26"/>
                <w:szCs w:val="26"/>
              </w:rPr>
              <w:t xml:space="preserve">PEOPLE</w:t>
            </w:r>
          </w:p>
        </w:tc>
        <w:tc>
          <w:tcPr>
            <w:tcW w:type="dxa" w:w="6560"/>
            <w:tcBorders>
              <w:top w:val="none" w:sz="0"/>
              <w:left w:val="none" w:sz="0"/>
              <w:bottom w:val="none" w:sz="0"/>
              <w:right w:val="none" w:sz="0"/>
            </w:tcBorders>
            <w:shd w:fill="F0F2FF" w:val="clear"/>
            <w:tcMar>
              <w:top w:type="dxa" w:w="100"/>
              <w:left w:type="dxa" w:w="150"/>
              <w:bottom w:type="dxa" w:w="100"/>
              <w:right w:type="dxa" w:w="150"/>
            </w:tcMar>
          </w:tcPr>
          <w:p>
            <w:pPr>
              <w:spacing w:before="80" w:after="80" w:line="300"/>
            </w:pPr>
            <w:r>
              <w:rPr>
                <w:rFonts w:ascii="Arial" w:cs="Arial" w:eastAsia="Arial" w:hAnsi="Arial"/>
                <w:b/>
                <w:bCs/>
                <w:color w:val="333333"/>
                <w:sz w:val="22"/>
                <w:szCs w:val="22"/>
              </w:rPr>
              <w:t xml:space="preserve">Buyer question: </w:t>
            </w:r>
            <w:r>
              <w:rPr>
                <w:rFonts w:ascii="Arial" w:cs="Arial" w:eastAsia="Arial" w:hAnsi="Arial"/>
                <w:color w:val="333333"/>
                <w:sz w:val="22"/>
                <w:szCs w:val="22"/>
              </w:rPr>
              <w:t xml:space="preserve">“How do we scale our best people’s expertise without losing what makes us unique?”</w:t>
            </w:r>
          </w:p>
          <w:p>
            <w:pPr>
              <w:spacing w:before="80" w:after="80" w:line="300"/>
            </w:pPr>
            <w:r>
              <w:rPr>
                <w:rFonts w:ascii="Arial" w:cs="Arial" w:eastAsia="Arial" w:hAnsi="Arial"/>
                <w:b/>
                <w:bCs/>
                <w:color w:val="333333"/>
                <w:sz w:val="22"/>
                <w:szCs w:val="22"/>
              </w:rPr>
              <w:t xml:space="preserve">Pitch: </w:t>
            </w:r>
            <w:r>
              <w:rPr>
                <w:rFonts w:ascii="Arial" w:cs="Arial" w:eastAsia="Arial" w:hAnsi="Arial"/>
                <w:color w:val="333333"/>
                <w:sz w:val="22"/>
                <w:szCs w:val="22"/>
              </w:rPr>
              <w:t xml:space="preserve">We encode the qualities that make your organisation distinctive into AI agents — so your output is consistent, scalable, and authentically yours.</w:t>
            </w:r>
          </w:p>
          <w:p>
            <w:pPr>
              <w:spacing w:before="80" w:after="80" w:line="300"/>
            </w:pPr>
            <w:r>
              <w:rPr>
                <w:rFonts w:ascii="Arial" w:cs="Arial" w:eastAsia="Arial" w:hAnsi="Arial"/>
                <w:b/>
                <w:bCs/>
                <w:color w:val="333333"/>
                <w:sz w:val="22"/>
                <w:szCs w:val="22"/>
              </w:rPr>
              <w:t xml:space="preserve">Differentiator: </w:t>
            </w:r>
            <w:r>
              <w:rPr>
                <w:rFonts w:ascii="Arial" w:cs="Arial" w:eastAsia="Arial" w:hAnsi="Arial"/>
                <w:color w:val="333333"/>
                <w:sz w:val="22"/>
                <w:szCs w:val="22"/>
              </w:rPr>
              <w:t xml:space="preserve">Not generic AI. Your AI. Built on the Imprint framework.</w:t>
            </w:r>
          </w:p>
        </w:tc>
      </w:tr>
    </w:tbl>
    <w:p>
      <w:r>
        <w:br w:type="page"/>
      </w:r>
    </w:p>
    <w:p>
      <w:pPr>
        <w:pStyle w:val="Heading1"/>
        <w:spacing w:before="360" w:after="200"/>
      </w:pPr>
      <w:r>
        <w:rPr>
          <w:rFonts w:ascii="Arial" w:cs="Arial" w:eastAsia="Arial" w:hAnsi="Arial"/>
          <w:b/>
          <w:bCs/>
          <w:color w:val="1A1A2E"/>
          <w:sz w:val="36"/>
          <w:szCs w:val="36"/>
        </w:rPr>
        <w:t xml:space="preserve">Engagement Model Alignment</w:t>
      </w:r>
    </w:p>
    <w:p>
      <w:pPr>
        <w:pBdr>
          <w:bottom w:val="single" w:color="4A6CF7" w:sz="4" w:space="1"/>
        </w:pBdr>
        <w:spacing w:after="200"/>
      </w:pPr>
    </w:p>
    <w:p>
      <w:pPr>
        <w:spacing w:before="80" w:after="80" w:line="300"/>
      </w:pPr>
      <w:r>
        <w:rPr>
          <w:rFonts w:ascii="Arial" w:cs="Arial" w:eastAsia="Arial" w:hAnsi="Arial"/>
          <w:color w:val="333333"/>
          <w:sz w:val="22"/>
          <w:szCs w:val="22"/>
        </w:rPr>
        <w:t xml:space="preserve">The current engagement model (Discovery Sprint → Build &amp; Deploy → Agentic Enterprise) is solid and doesn’t need a structural overhaul. However, it should be updated to reflect the three pillars.</w:t>
      </w:r>
    </w:p>
    <w:p>
      <w:pPr>
        <w:spacing w:before="100" w:after="100"/>
      </w:pPr>
    </w:p>
    <w:p>
      <w:pPr>
        <w:pStyle w:val="Heading2"/>
        <w:spacing w:before="280" w:after="160"/>
      </w:pPr>
      <w:r>
        <w:rPr>
          <w:rFonts w:ascii="Arial" w:cs="Arial" w:eastAsia="Arial" w:hAnsi="Arial"/>
          <w:b/>
          <w:bCs/>
          <w:color w:val="4A6CF7"/>
          <w:sz w:val="28"/>
          <w:szCs w:val="28"/>
        </w:rPr>
        <w:t xml:space="preserve">Recommended Adjustments</w:t>
      </w:r>
    </w:p>
    <w:p>
      <w:pPr>
        <w:spacing w:before="200" w:after="120"/>
      </w:pPr>
      <w:r>
        <w:rPr>
          <w:rFonts w:ascii="Arial" w:cs="Arial" w:eastAsia="Arial" w:hAnsi="Arial"/>
          <w:b/>
          <w:bCs/>
          <w:color w:val="1A1A2E"/>
          <w:sz w:val="24"/>
          <w:szCs w:val="24"/>
        </w:rPr>
        <w:t xml:space="preserve">Discovery Sprint (£5k)</w:t>
      </w:r>
    </w:p>
    <w:p>
      <w:pPr>
        <w:spacing w:before="80" w:after="80" w:line="300"/>
      </w:pPr>
      <w:r>
        <w:rPr>
          <w:rFonts w:ascii="Arial" w:cs="Arial" w:eastAsia="Arial" w:hAnsi="Arial"/>
          <w:color w:val="333333"/>
          <w:sz w:val="22"/>
          <w:szCs w:val="22"/>
        </w:rPr>
        <w:t xml:space="preserve">Currently positioned as general AI opportunity assessment. Reframe to include pillar-specific outputs:</w:t>
      </w:r>
    </w:p>
    <w:p>
      <w:pPr>
        <w:pStyle w:val="ListParagraph"/>
        <w:numPr>
          <w:ilvl w:val="0"/>
          <w:numId w:val="3"/>
        </w:numPr>
        <w:spacing w:before="60" w:after="60" w:line="280"/>
      </w:pPr>
      <w:r>
        <w:rPr>
          <w:rFonts w:ascii="Arial" w:cs="Arial" w:eastAsia="Arial" w:hAnsi="Arial"/>
          <w:color w:val="333333"/>
          <w:sz w:val="22"/>
          <w:szCs w:val="22"/>
        </w:rPr>
        <w:t xml:space="preserve">Product audit: where AI adds value in your product roadmap</w:t>
      </w:r>
    </w:p>
    <w:p>
      <w:pPr>
        <w:pStyle w:val="ListParagraph"/>
        <w:numPr>
          <w:ilvl w:val="0"/>
          <w:numId w:val="3"/>
        </w:numPr>
        <w:spacing w:before="60" w:after="60" w:line="280"/>
      </w:pPr>
      <w:r>
        <w:rPr>
          <w:rFonts w:ascii="Arial" w:cs="Arial" w:eastAsia="Arial" w:hAnsi="Arial"/>
          <w:color w:val="333333"/>
          <w:sz w:val="22"/>
          <w:szCs w:val="22"/>
        </w:rPr>
        <w:t xml:space="preserve">Process scan: highest-impact CX/EX improvement opportunities</w:t>
      </w:r>
    </w:p>
    <w:p>
      <w:pPr>
        <w:pStyle w:val="ListParagraph"/>
        <w:numPr>
          <w:ilvl w:val="0"/>
          <w:numId w:val="3"/>
        </w:numPr>
        <w:spacing w:before="60" w:after="60" w:line="280"/>
      </w:pPr>
      <w:r>
        <w:rPr>
          <w:rFonts w:ascii="Arial" w:cs="Arial" w:eastAsia="Arial" w:hAnsi="Arial"/>
          <w:color w:val="333333"/>
          <w:sz w:val="22"/>
          <w:szCs w:val="22"/>
        </w:rPr>
        <w:t xml:space="preserve">People assessment: which expertise is worth encoding into agents</w:t>
      </w:r>
    </w:p>
    <w:p>
      <w:pPr>
        <w:spacing w:before="80" w:after="80" w:line="300"/>
      </w:pPr>
      <w:r>
        <w:rPr>
          <w:rFonts w:ascii="Arial" w:cs="Arial" w:eastAsia="Arial" w:hAnsi="Arial"/>
          <w:color w:val="333333"/>
          <w:sz w:val="22"/>
          <w:szCs w:val="22"/>
        </w:rPr>
        <w:t xml:space="preserve">The discovery output should map opportunities across all three pillars, giving the client a clear view of where to start.</w:t>
      </w:r>
    </w:p>
    <w:p>
      <w:pPr>
        <w:spacing w:before="200" w:after="120"/>
      </w:pPr>
      <w:r>
        <w:rPr>
          <w:rFonts w:ascii="Arial" w:cs="Arial" w:eastAsia="Arial" w:hAnsi="Arial"/>
          <w:b/>
          <w:bCs/>
          <w:color w:val="1A1A2E"/>
          <w:sz w:val="24"/>
          <w:szCs w:val="24"/>
        </w:rPr>
        <w:t xml:space="preserve">Build &amp; Deploy (£25k+)</w:t>
      </w:r>
    </w:p>
    <w:p>
      <w:pPr>
        <w:spacing w:before="80" w:after="80" w:line="300"/>
      </w:pPr>
      <w:r>
        <w:rPr>
          <w:rFonts w:ascii="Arial" w:cs="Arial" w:eastAsia="Arial" w:hAnsi="Arial"/>
          <w:color w:val="333333"/>
          <w:sz w:val="22"/>
          <w:szCs w:val="22"/>
        </w:rPr>
        <w:t xml:space="preserve">This stays largely the same but should be positioned as delivery against one specific pillar. A client might start with a Process engagement (automating a key customer journey) and later add a People engagement (encoding their sales methodology into agents).</w:t>
      </w:r>
    </w:p>
    <w:p>
      <w:pPr>
        <w:spacing w:before="200" w:after="120"/>
      </w:pPr>
      <w:r>
        <w:rPr>
          <w:rFonts w:ascii="Arial" w:cs="Arial" w:eastAsia="Arial" w:hAnsi="Arial"/>
          <w:b/>
          <w:bCs/>
          <w:color w:val="1A1A2E"/>
          <w:sz w:val="24"/>
          <w:szCs w:val="24"/>
        </w:rPr>
        <w:t xml:space="preserve">Agentic Enterprise (Custom)</w:t>
      </w:r>
    </w:p>
    <w:p>
      <w:pPr>
        <w:spacing w:before="80" w:after="80" w:line="300"/>
      </w:pPr>
      <w:r>
        <w:rPr>
          <w:rFonts w:ascii="Arial" w:cs="Arial" w:eastAsia="Arial" w:hAnsi="Arial"/>
          <w:color w:val="333333"/>
          <w:sz w:val="22"/>
          <w:szCs w:val="22"/>
        </w:rPr>
        <w:t xml:space="preserve">This is where all three pillars come together. Position this tier as the full transformation play — AI in products, AI in processes, and AI-powered talent amplification across the organisation.</w:t>
      </w:r>
    </w:p>
    <w:p>
      <w:r>
        <w:br w:type="page"/>
      </w:r>
    </w:p>
    <w:p>
      <w:pPr>
        <w:pStyle w:val="Heading1"/>
        <w:spacing w:before="360" w:after="200"/>
      </w:pPr>
      <w:r>
        <w:rPr>
          <w:rFonts w:ascii="Arial" w:cs="Arial" w:eastAsia="Arial" w:hAnsi="Arial"/>
          <w:b/>
          <w:bCs/>
          <w:color w:val="1A1A2E"/>
          <w:sz w:val="36"/>
          <w:szCs w:val="36"/>
        </w:rPr>
        <w:t xml:space="preserve">Recommended Next Steps</w:t>
      </w:r>
    </w:p>
    <w:p>
      <w:pPr>
        <w:pBdr>
          <w:bottom w:val="single" w:color="4A6CF7" w:sz="4" w:space="1"/>
        </w:pBdr>
        <w:spacing w:after="200"/>
      </w:pPr>
    </w:p>
    <w:p>
      <w:pPr>
        <w:pStyle w:val="ListParagraph"/>
        <w:numPr>
          <w:ilvl w:val="0"/>
          <w:numId w:val="4"/>
        </w:numPr>
        <w:spacing w:before="100" w:after="60" w:line="300"/>
      </w:pPr>
      <w:r>
        <w:rPr>
          <w:rFonts w:ascii="Arial" w:cs="Arial" w:eastAsia="Arial" w:hAnsi="Arial"/>
          <w:b/>
          <w:bCs/>
          <w:color w:val="333333"/>
          <w:sz w:val="22"/>
          <w:szCs w:val="22"/>
        </w:rPr>
        <w:t xml:space="preserve">Align on the framework. </w:t>
      </w:r>
      <w:r>
        <w:rPr>
          <w:rFonts w:ascii="Arial" w:cs="Arial" w:eastAsia="Arial" w:hAnsi="Arial"/>
          <w:color w:val="333333"/>
          <w:sz w:val="22"/>
          <w:szCs w:val="22"/>
        </w:rPr>
        <w:t xml:space="preserve">Confirm that Product, Process, People captures the strategic intent and that the descriptions in this document accurately reflect the vision.</w:t>
      </w:r>
    </w:p>
    <w:p>
      <w:pPr>
        <w:pStyle w:val="ListParagraph"/>
        <w:numPr>
          <w:ilvl w:val="0"/>
          <w:numId w:val="4"/>
        </w:numPr>
        <w:spacing w:before="60" w:after="60" w:line="300"/>
      </w:pPr>
      <w:r>
        <w:rPr>
          <w:rFonts w:ascii="Arial" w:cs="Arial" w:eastAsia="Arial" w:hAnsi="Arial"/>
          <w:b/>
          <w:bCs/>
          <w:color w:val="333333"/>
          <w:sz w:val="22"/>
          <w:szCs w:val="22"/>
        </w:rPr>
        <w:t xml:space="preserve">Rewrite website copy. </w:t>
      </w:r>
      <w:r>
        <w:rPr>
          <w:rFonts w:ascii="Arial" w:cs="Arial" w:eastAsia="Arial" w:hAnsi="Arial"/>
          <w:color w:val="333333"/>
          <w:sz w:val="22"/>
          <w:szCs w:val="22"/>
        </w:rPr>
        <w:t xml:space="preserve">Starting with the homepage hero, the three-pillar section, and the Imprint page. The industry verticals can be updated in a second pass.</w:t>
      </w:r>
    </w:p>
    <w:p>
      <w:pPr>
        <w:pStyle w:val="ListParagraph"/>
        <w:numPr>
          <w:ilvl w:val="0"/>
          <w:numId w:val="4"/>
        </w:numPr>
        <w:spacing w:before="60" w:after="60" w:line="300"/>
      </w:pPr>
      <w:r>
        <w:rPr>
          <w:rFonts w:ascii="Arial" w:cs="Arial" w:eastAsia="Arial" w:hAnsi="Arial"/>
          <w:b/>
          <w:bCs/>
          <w:color w:val="333333"/>
          <w:sz w:val="22"/>
          <w:szCs w:val="22"/>
        </w:rPr>
        <w:t xml:space="preserve">Update engagement model copy. </w:t>
      </w:r>
      <w:r>
        <w:rPr>
          <w:rFonts w:ascii="Arial" w:cs="Arial" w:eastAsia="Arial" w:hAnsi="Arial"/>
          <w:color w:val="333333"/>
          <w:sz w:val="22"/>
          <w:szCs w:val="22"/>
        </w:rPr>
        <w:t xml:space="preserve">Reflect the pillar-specific framing in the Discovery Sprint and Build &amp; Deploy descriptions.</w:t>
      </w:r>
    </w:p>
    <w:p>
      <w:pPr>
        <w:pStyle w:val="ListParagraph"/>
        <w:numPr>
          <w:ilvl w:val="0"/>
          <w:numId w:val="4"/>
        </w:numPr>
        <w:spacing w:before="60" w:after="60" w:line="300"/>
      </w:pPr>
      <w:r>
        <w:rPr>
          <w:rFonts w:ascii="Arial" w:cs="Arial" w:eastAsia="Arial" w:hAnsi="Arial"/>
          <w:b/>
          <w:bCs/>
          <w:color w:val="333333"/>
          <w:sz w:val="22"/>
          <w:szCs w:val="22"/>
        </w:rPr>
        <w:t xml:space="preserve">Develop pillar-specific proof points. </w:t>
      </w:r>
      <w:r>
        <w:rPr>
          <w:rFonts w:ascii="Arial" w:cs="Arial" w:eastAsia="Arial" w:hAnsi="Arial"/>
          <w:color w:val="333333"/>
          <w:sz w:val="22"/>
          <w:szCs w:val="22"/>
        </w:rPr>
        <w:t xml:space="preserve">Gather or create case studies and metrics for Product and Process to match the existing strength of People/Imprint evidence.</w:t>
      </w:r>
    </w:p>
    <w:p>
      <w:pPr>
        <w:pStyle w:val="ListParagraph"/>
        <w:numPr>
          <w:ilvl w:val="0"/>
          <w:numId w:val="4"/>
        </w:numPr>
        <w:spacing w:before="60" w:after="60" w:line="300"/>
      </w:pPr>
      <w:r>
        <w:rPr>
          <w:rFonts w:ascii="Arial" w:cs="Arial" w:eastAsia="Arial" w:hAnsi="Arial"/>
          <w:b/>
          <w:bCs/>
          <w:color w:val="333333"/>
          <w:sz w:val="22"/>
          <w:szCs w:val="22"/>
        </w:rPr>
        <w:t xml:space="preserve">Test messaging externally. </w:t>
      </w:r>
      <w:r>
        <w:rPr>
          <w:rFonts w:ascii="Arial" w:cs="Arial" w:eastAsia="Arial" w:hAnsi="Arial"/>
          <w:color w:val="333333"/>
          <w:sz w:val="22"/>
          <w:szCs w:val="22"/>
        </w:rPr>
        <w:t xml:space="preserve">Run the new pillar framework past 3–5 target buyers to validate that it resonates before committing to a full site redesign.</w:t>
      </w:r>
    </w:p>
    <w:p>
      <w:pPr>
        <w:spacing w:before="40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50"/>
              <w:left w:type="dxa" w:w="300"/>
              <w:bottom w:type="dxa" w:w="250"/>
              <w:right w:type="dxa" w:w="300"/>
            </w:tcMar>
          </w:tcPr>
          <w:p>
            <w:pPr>
              <w:jc w:val="center"/>
            </w:pPr>
            <w:r>
              <w:rPr>
                <w:rFonts w:ascii="Arial" w:cs="Arial" w:eastAsia="Arial" w:hAnsi="Arial"/>
                <w:b/>
                <w:bCs/>
                <w:color w:val="FFFFFF"/>
                <w:sz w:val="32"/>
                <w:szCs w:val="32"/>
              </w:rPr>
              <w:t xml:space="preserve">Product. Process. People.</w:t>
            </w:r>
          </w:p>
          <w:p>
            <w:pPr>
              <w:spacing w:before="120"/>
              <w:jc w:val="center"/>
            </w:pPr>
            <w:r>
              <w:rPr>
                <w:rFonts w:ascii="Arial" w:cs="Arial" w:eastAsia="Arial" w:hAnsi="Arial"/>
                <w:color w:val="B0B8FF"/>
                <w:sz w:val="24"/>
                <w:szCs w:val="24"/>
              </w:rPr>
              <w:t xml:space="preserve">Three pillars. One agentic edge.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Agentic Insights — Strategic Repositioning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6CF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2026-03-01T01:13:48.179Z</dcterms:created>
  <dcterms:modified xsi:type="dcterms:W3CDTF">2026-03-01T01:13:48.180Z</dcterms:modified>
</cp:coreProperties>
</file>

<file path=docProps/custom.xml><?xml version="1.0" encoding="utf-8"?>
<Properties xmlns="http://schemas.openxmlformats.org/officeDocument/2006/custom-properties" xmlns:vt="http://schemas.openxmlformats.org/officeDocument/2006/docPropsVTypes"/>
</file>